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66209" w14:textId="77777777" w:rsidR="00780F9E" w:rsidRPr="00E42408" w:rsidRDefault="00780F9E" w:rsidP="00780F9E">
      <w:pPr>
        <w:jc w:val="center"/>
        <w:rPr>
          <w:rFonts w:asciiTheme="minorHAnsi" w:hAnsiTheme="minorHAnsi" w:cstheme="minorHAnsi"/>
          <w:b/>
          <w:color w:val="000000" w:themeColor="text1"/>
        </w:rPr>
      </w:pPr>
      <w:bookmarkStart w:id="0" w:name="_Hlk115357409"/>
      <w:r w:rsidRPr="0002578B">
        <w:rPr>
          <w:rFonts w:asciiTheme="minorHAnsi" w:hAnsiTheme="minorHAnsi" w:cstheme="minorHAnsi"/>
          <w:b/>
          <w:color w:val="000000" w:themeColor="text1"/>
        </w:rPr>
        <w:t>RF</w:t>
      </w:r>
      <w:r w:rsidRPr="00E42408">
        <w:rPr>
          <w:rFonts w:asciiTheme="minorHAnsi" w:hAnsiTheme="minorHAnsi" w:cstheme="minorHAnsi"/>
          <w:b/>
          <w:color w:val="000000" w:themeColor="text1"/>
        </w:rPr>
        <w:t>P23-73290</w:t>
      </w:r>
    </w:p>
    <w:p w14:paraId="35EBD966" w14:textId="77777777" w:rsidR="00780F9E" w:rsidRPr="0002578B" w:rsidRDefault="00780F9E" w:rsidP="00780F9E">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33FFE7A3" w14:textId="77777777" w:rsidR="00780F9E" w:rsidRPr="0002578B" w:rsidRDefault="00780F9E" w:rsidP="00780F9E">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ATTACHMENT F</w:t>
      </w:r>
    </w:p>
    <w:p w14:paraId="7B6619EC" w14:textId="77777777" w:rsidR="00780F9E" w:rsidRPr="0002578B" w:rsidRDefault="00780F9E" w:rsidP="00780F9E">
      <w:pPr>
        <w:rPr>
          <w:rFonts w:asciiTheme="minorHAnsi" w:hAnsiTheme="minorHAnsi" w:cstheme="minorHAnsi"/>
          <w:b/>
          <w:color w:val="000000" w:themeColor="text1"/>
        </w:rPr>
      </w:pPr>
    </w:p>
    <w:p w14:paraId="16FD7E67" w14:textId="77777777" w:rsidR="00780F9E" w:rsidRPr="00C63C68" w:rsidRDefault="00780F9E" w:rsidP="00780F9E">
      <w:pPr>
        <w:rPr>
          <w:rFonts w:asciiTheme="minorHAnsi" w:hAnsiTheme="minorHAnsi" w:cstheme="minorHAnsi"/>
          <w:b/>
          <w:color w:val="000000" w:themeColor="text1"/>
          <w:szCs w:val="24"/>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bookmarkEnd w:id="0"/>
    <w:p w14:paraId="15E6FF13" w14:textId="77777777" w:rsidR="00780F9E" w:rsidRPr="0002578B" w:rsidRDefault="00780F9E" w:rsidP="00780F9E">
      <w:pPr>
        <w:rPr>
          <w:rFonts w:asciiTheme="minorHAnsi" w:hAnsiTheme="minorHAnsi" w:cstheme="minorHAnsi"/>
          <w:b/>
          <w:color w:val="000000" w:themeColor="text1"/>
          <w:sz w:val="28"/>
          <w:szCs w:val="28"/>
        </w:rPr>
      </w:pPr>
    </w:p>
    <w:p w14:paraId="59D44495" w14:textId="77777777" w:rsidR="00780F9E" w:rsidRPr="0002578B" w:rsidRDefault="00780F9E" w:rsidP="00780F9E">
      <w:pPr>
        <w:pStyle w:val="ListParagraph"/>
        <w:numPr>
          <w:ilvl w:val="2"/>
          <w:numId w:val="8"/>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3F57E950" w14:textId="77777777" w:rsidR="00780F9E" w:rsidRPr="0002578B" w:rsidRDefault="00780F9E" w:rsidP="00780F9E">
      <w:pPr>
        <w:pStyle w:val="ListParagraph"/>
        <w:ind w:left="702"/>
        <w:rPr>
          <w:rFonts w:asciiTheme="minorHAnsi" w:hAnsiTheme="minorHAnsi" w:cstheme="minorHAnsi"/>
          <w:color w:val="000000" w:themeColor="text1"/>
          <w:szCs w:val="24"/>
        </w:rPr>
      </w:pPr>
    </w:p>
    <w:p w14:paraId="2A9E6C18" w14:textId="77777777" w:rsidR="00780F9E" w:rsidRPr="0002578B" w:rsidRDefault="00780F9E" w:rsidP="00780F9E">
      <w:pPr>
        <w:rPr>
          <w:rFonts w:asciiTheme="minorHAnsi" w:hAnsiTheme="minorHAnsi" w:cstheme="minorHAnsi"/>
          <w:color w:val="000000" w:themeColor="text1"/>
          <w:szCs w:val="24"/>
        </w:rPr>
      </w:pPr>
    </w:p>
    <w:p w14:paraId="1AA599E1" w14:textId="3A790FFB" w:rsidR="00780F9E" w:rsidRDefault="00780F9E" w:rsidP="00780F9E">
      <w:pPr>
        <w:pStyle w:val="ListParagraph"/>
        <w:numPr>
          <w:ilvl w:val="3"/>
          <w:numId w:val="8"/>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w:t>
      </w:r>
      <w:r>
        <w:rPr>
          <w:rFonts w:asciiTheme="minorHAnsi" w:hAnsiTheme="minorHAnsi" w:cstheme="minorHAnsi"/>
          <w:color w:val="000000" w:themeColor="text1"/>
          <w:szCs w:val="24"/>
        </w:rPr>
        <w:t xml:space="preserve"> and</w:t>
      </w:r>
      <w:r w:rsidRPr="0002578B">
        <w:rPr>
          <w:rFonts w:asciiTheme="minorHAnsi" w:hAnsiTheme="minorHAnsi" w:cstheme="minorHAnsi"/>
          <w:color w:val="000000" w:themeColor="text1"/>
          <w:szCs w:val="24"/>
        </w:rPr>
        <w:t xml:space="preserve"> during contract finalization and implementation.</w:t>
      </w:r>
    </w:p>
    <w:p w14:paraId="5166E7C6" w14:textId="73D67DBA" w:rsidR="004D56E6" w:rsidRDefault="004D56E6" w:rsidP="004D56E6">
      <w:pPr>
        <w:pStyle w:val="ListParagraph"/>
        <w:ind w:left="1080"/>
        <w:rPr>
          <w:rFonts w:asciiTheme="minorHAnsi" w:hAnsiTheme="minorHAnsi" w:cstheme="minorHAnsi"/>
          <w:color w:val="000000" w:themeColor="text1"/>
          <w:szCs w:val="24"/>
        </w:rPr>
      </w:pPr>
    </w:p>
    <w:tbl>
      <w:tblPr>
        <w:tblStyle w:val="TableGrid"/>
        <w:tblW w:w="0" w:type="auto"/>
        <w:tblInd w:w="355" w:type="dxa"/>
        <w:shd w:val="clear" w:color="auto" w:fill="92D050"/>
        <w:tblLook w:val="04A0" w:firstRow="1" w:lastRow="0" w:firstColumn="1" w:lastColumn="0" w:noHBand="0" w:noVBand="1"/>
      </w:tblPr>
      <w:tblGrid>
        <w:gridCol w:w="8995"/>
      </w:tblGrid>
      <w:tr w:rsidR="004D56E6" w14:paraId="35A2A9C2" w14:textId="77777777" w:rsidTr="009D485A">
        <w:tc>
          <w:tcPr>
            <w:tcW w:w="8995" w:type="dxa"/>
            <w:shd w:val="clear" w:color="auto" w:fill="92D050"/>
          </w:tcPr>
          <w:p w14:paraId="767D07D7" w14:textId="104CB2FC" w:rsidR="004D56E6" w:rsidRDefault="005D2C4E" w:rsidP="009D485A">
            <w:pPr>
              <w:rPr>
                <w:rFonts w:asciiTheme="minorHAnsi" w:hAnsiTheme="minorHAnsi" w:cstheme="minorHAnsi"/>
                <w:b/>
                <w:color w:val="000000" w:themeColor="text1"/>
              </w:rPr>
            </w:pPr>
            <w:r>
              <w:rPr>
                <w:rFonts w:asciiTheme="minorHAnsi" w:hAnsiTheme="minorHAnsi" w:cstheme="minorHAnsi"/>
                <w:b/>
                <w:color w:val="000000" w:themeColor="text1"/>
              </w:rPr>
              <w:t>None</w:t>
            </w:r>
          </w:p>
        </w:tc>
      </w:tr>
    </w:tbl>
    <w:p w14:paraId="66CB2899" w14:textId="77777777" w:rsidR="00780F9E" w:rsidRPr="0002578B" w:rsidRDefault="00780F9E" w:rsidP="00780F9E">
      <w:pPr>
        <w:pStyle w:val="ListParagraph"/>
        <w:ind w:left="702"/>
        <w:rPr>
          <w:rFonts w:asciiTheme="minorHAnsi" w:hAnsiTheme="minorHAnsi" w:cstheme="minorHAnsi"/>
          <w:color w:val="000000" w:themeColor="text1"/>
          <w:szCs w:val="24"/>
        </w:rPr>
      </w:pPr>
    </w:p>
    <w:p w14:paraId="1AE17137" w14:textId="79CFC26B" w:rsidR="00780F9E" w:rsidRDefault="00780F9E" w:rsidP="00780F9E">
      <w:pPr>
        <w:pStyle w:val="ListParagraph"/>
        <w:numPr>
          <w:ilvl w:val="3"/>
          <w:numId w:val="8"/>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xml:space="preserve">.  Should your company have any exceptions, substitutions, or conditions for the State’s consideration, please list them below. The State will not accept exceptions, substitutions, or conditions introduced after award, during contract finalization and </w:t>
      </w:r>
      <w:commentRangeStart w:id="1"/>
      <w:r w:rsidRPr="0002578B">
        <w:rPr>
          <w:rFonts w:asciiTheme="minorHAnsi" w:hAnsiTheme="minorHAnsi" w:cstheme="minorHAnsi"/>
          <w:color w:val="000000" w:themeColor="text1"/>
          <w:szCs w:val="24"/>
        </w:rPr>
        <w:t>implementation</w:t>
      </w:r>
      <w:commentRangeEnd w:id="1"/>
      <w:r w:rsidR="001C1AC4">
        <w:rPr>
          <w:rStyle w:val="CommentReference"/>
        </w:rPr>
        <w:commentReference w:id="1"/>
      </w:r>
      <w:r w:rsidRPr="0002578B">
        <w:rPr>
          <w:rFonts w:asciiTheme="minorHAnsi" w:hAnsiTheme="minorHAnsi" w:cstheme="minorHAnsi"/>
          <w:color w:val="000000" w:themeColor="text1"/>
          <w:szCs w:val="24"/>
        </w:rPr>
        <w:t>.</w:t>
      </w:r>
    </w:p>
    <w:p w14:paraId="3262754A" w14:textId="77777777" w:rsidR="004D56E6" w:rsidRPr="0002578B" w:rsidRDefault="004D56E6" w:rsidP="004D56E6">
      <w:pPr>
        <w:pStyle w:val="ListParagraph"/>
        <w:ind w:left="1080"/>
        <w:rPr>
          <w:rFonts w:asciiTheme="minorHAnsi" w:hAnsiTheme="minorHAnsi" w:cstheme="minorHAnsi"/>
          <w:color w:val="000000" w:themeColor="text1"/>
          <w:szCs w:val="24"/>
        </w:rPr>
      </w:pPr>
    </w:p>
    <w:tbl>
      <w:tblPr>
        <w:tblStyle w:val="TableGrid"/>
        <w:tblW w:w="0" w:type="auto"/>
        <w:tblInd w:w="355" w:type="dxa"/>
        <w:shd w:val="clear" w:color="auto" w:fill="92D050"/>
        <w:tblLook w:val="04A0" w:firstRow="1" w:lastRow="0" w:firstColumn="1" w:lastColumn="0" w:noHBand="0" w:noVBand="1"/>
      </w:tblPr>
      <w:tblGrid>
        <w:gridCol w:w="8995"/>
      </w:tblGrid>
      <w:tr w:rsidR="004D56E6" w14:paraId="505AD7EF" w14:textId="77777777" w:rsidTr="009D485A">
        <w:tc>
          <w:tcPr>
            <w:tcW w:w="8995" w:type="dxa"/>
            <w:shd w:val="clear" w:color="auto" w:fill="92D050"/>
          </w:tcPr>
          <w:p w14:paraId="3DAA7BC4" w14:textId="21400C9E" w:rsidR="004D56E6" w:rsidRDefault="005D2C4E" w:rsidP="009D485A">
            <w:pPr>
              <w:rPr>
                <w:rFonts w:asciiTheme="minorHAnsi" w:hAnsiTheme="minorHAnsi" w:cstheme="minorHAnsi"/>
                <w:b/>
                <w:color w:val="000000" w:themeColor="text1"/>
              </w:rPr>
            </w:pPr>
            <w:r w:rsidRPr="005D2C4E">
              <w:rPr>
                <w:rFonts w:asciiTheme="minorHAnsi" w:hAnsiTheme="minorHAnsi" w:cstheme="minorHAnsi"/>
                <w:b/>
                <w:color w:val="000000" w:themeColor="text1"/>
              </w:rPr>
              <w:t>None</w:t>
            </w:r>
          </w:p>
        </w:tc>
      </w:tr>
    </w:tbl>
    <w:p w14:paraId="796A55FC" w14:textId="77777777" w:rsidR="004A40A4" w:rsidRPr="0002578B" w:rsidRDefault="004A40A4" w:rsidP="004A40A4">
      <w:pPr>
        <w:rPr>
          <w:rFonts w:asciiTheme="minorHAnsi" w:hAnsiTheme="minorHAnsi" w:cstheme="minorHAnsi"/>
          <w:b/>
          <w:color w:val="000000" w:themeColor="text1"/>
        </w:rPr>
      </w:pPr>
    </w:p>
    <w:p w14:paraId="1511F6A0" w14:textId="77777777" w:rsidR="004A40A4" w:rsidRDefault="004A40A4" w:rsidP="3184F79F">
      <w:pPr>
        <w:rPr>
          <w:rFonts w:asciiTheme="majorHAnsi" w:eastAsiaTheme="majorEastAsia" w:hAnsiTheme="majorHAnsi" w:cstheme="majorBidi"/>
          <w:b/>
          <w:bCs/>
        </w:rPr>
      </w:pPr>
    </w:p>
    <w:p w14:paraId="19423535" w14:textId="4D942757" w:rsidR="00AD5F1C" w:rsidRPr="00780F9E" w:rsidRDefault="669C31BF"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 xml:space="preserve">How will the Vendor administer the </w:t>
      </w:r>
      <w:commentRangeStart w:id="2"/>
      <w:r w:rsidRPr="00780F9E">
        <w:rPr>
          <w:rFonts w:asciiTheme="minorHAnsi" w:hAnsiTheme="minorHAnsi" w:cstheme="minorHAnsi"/>
          <w:color w:val="000000" w:themeColor="text1"/>
          <w:szCs w:val="24"/>
        </w:rPr>
        <w:t xml:space="preserve">disbursement </w:t>
      </w:r>
      <w:commentRangeEnd w:id="2"/>
      <w:r w:rsidR="00D34C88">
        <w:rPr>
          <w:rStyle w:val="CommentReference"/>
        </w:rPr>
        <w:commentReference w:id="2"/>
      </w:r>
      <w:r w:rsidRPr="00780F9E">
        <w:rPr>
          <w:rFonts w:asciiTheme="minorHAnsi" w:hAnsiTheme="minorHAnsi" w:cstheme="minorHAnsi"/>
          <w:color w:val="000000" w:themeColor="text1"/>
          <w:szCs w:val="24"/>
        </w:rPr>
        <w:t>of benefits under the program without DWD creating a distribution bank account or assuming any liability for Requirement E compliance?</w:t>
      </w:r>
    </w:p>
    <w:p w14:paraId="47B604EE" w14:textId="5AFFC387"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55" w:type="dxa"/>
        <w:shd w:val="clear" w:color="auto" w:fill="92D050"/>
        <w:tblLook w:val="04A0" w:firstRow="1" w:lastRow="0" w:firstColumn="1" w:lastColumn="0" w:noHBand="0" w:noVBand="1"/>
      </w:tblPr>
      <w:tblGrid>
        <w:gridCol w:w="8995"/>
      </w:tblGrid>
      <w:tr w:rsidR="00B05F73" w14:paraId="152CEA6D" w14:textId="77777777" w:rsidTr="00B05F73">
        <w:tc>
          <w:tcPr>
            <w:tcW w:w="8995" w:type="dxa"/>
            <w:shd w:val="clear" w:color="auto" w:fill="92D050"/>
          </w:tcPr>
          <w:p w14:paraId="4DA5276D" w14:textId="163DF025" w:rsidR="00A834C9" w:rsidRPr="00A834C9" w:rsidRDefault="00A834C9" w:rsidP="00A834C9">
            <w:pPr>
              <w:widowControl/>
              <w:spacing w:after="160" w:line="259" w:lineRule="auto"/>
              <w:rPr>
                <w:rFonts w:ascii="Calibri" w:eastAsia="Calibri" w:hAnsi="Calibri"/>
                <w:szCs w:val="24"/>
              </w:rPr>
            </w:pPr>
            <w:bookmarkStart w:id="3" w:name="_Hlk116914909"/>
            <w:r w:rsidRPr="00A834C9">
              <w:rPr>
                <w:rFonts w:ascii="Calibri" w:eastAsia="Calibri" w:hAnsi="Calibri"/>
                <w:szCs w:val="24"/>
              </w:rPr>
              <w:t xml:space="preserve">For the DWD unemployment </w:t>
            </w:r>
            <w:r w:rsidR="00F94DCA">
              <w:rPr>
                <w:rFonts w:ascii="Calibri" w:eastAsia="Calibri" w:hAnsi="Calibri"/>
                <w:szCs w:val="24"/>
              </w:rPr>
              <w:t>insurance</w:t>
            </w:r>
            <w:r w:rsidRPr="00A834C9">
              <w:rPr>
                <w:rFonts w:ascii="Calibri" w:eastAsia="Calibri" w:hAnsi="Calibri"/>
                <w:szCs w:val="24"/>
              </w:rPr>
              <w:t xml:space="preserve"> program, </w:t>
            </w:r>
            <w:r w:rsidR="00CF563B">
              <w:rPr>
                <w:rFonts w:ascii="Calibri" w:eastAsia="Calibri" w:hAnsi="Calibri"/>
                <w:szCs w:val="24"/>
              </w:rPr>
              <w:t>NoCheck will</w:t>
            </w:r>
            <w:r w:rsidR="00CF563B" w:rsidRPr="00A834C9">
              <w:rPr>
                <w:rFonts w:ascii="Calibri" w:eastAsia="Calibri" w:hAnsi="Calibri"/>
                <w:szCs w:val="24"/>
              </w:rPr>
              <w:t xml:space="preserve"> </w:t>
            </w:r>
            <w:r w:rsidRPr="00A834C9">
              <w:rPr>
                <w:rFonts w:ascii="Calibri" w:eastAsia="Calibri" w:hAnsi="Calibri"/>
                <w:szCs w:val="24"/>
              </w:rPr>
              <w:t xml:space="preserve">provide support for disbursement of benefits without DWD creating a distribution bank account or assuming liability for Regulation E compliance. </w:t>
            </w:r>
            <w:r w:rsidR="0043292A">
              <w:rPr>
                <w:rFonts w:ascii="Calibri" w:eastAsia="Calibri" w:hAnsi="Calibri"/>
                <w:szCs w:val="24"/>
              </w:rPr>
              <w:t xml:space="preserve"> </w:t>
            </w:r>
            <w:r w:rsidRPr="00A834C9">
              <w:rPr>
                <w:rFonts w:ascii="Calibri" w:eastAsia="Calibri" w:hAnsi="Calibri"/>
                <w:szCs w:val="24"/>
              </w:rPr>
              <w:t>To accomplish this</w:t>
            </w:r>
            <w:r w:rsidR="0043292A">
              <w:rPr>
                <w:rFonts w:ascii="Calibri" w:eastAsia="Calibri" w:hAnsi="Calibri"/>
                <w:szCs w:val="24"/>
              </w:rPr>
              <w:t>,</w:t>
            </w:r>
            <w:r w:rsidRPr="00A834C9">
              <w:rPr>
                <w:rFonts w:ascii="Calibri" w:eastAsia="Calibri" w:hAnsi="Calibri"/>
                <w:szCs w:val="24"/>
              </w:rPr>
              <w:t xml:space="preserve"> we propose continue</w:t>
            </w:r>
            <w:r w:rsidR="0043292A">
              <w:rPr>
                <w:rFonts w:ascii="Calibri" w:eastAsia="Calibri" w:hAnsi="Calibri"/>
                <w:szCs w:val="24"/>
              </w:rPr>
              <w:t>d</w:t>
            </w:r>
            <w:r w:rsidRPr="00A834C9">
              <w:rPr>
                <w:rFonts w:ascii="Calibri" w:eastAsia="Calibri" w:hAnsi="Calibri"/>
                <w:szCs w:val="24"/>
              </w:rPr>
              <w:t xml:space="preserve"> use of the NoCheck disbursement portal as you do today. This </w:t>
            </w:r>
            <w:r w:rsidR="000E78EB">
              <w:rPr>
                <w:rFonts w:ascii="Calibri" w:eastAsia="Calibri" w:hAnsi="Calibri"/>
                <w:szCs w:val="24"/>
              </w:rPr>
              <w:t>provides</w:t>
            </w:r>
            <w:r w:rsidR="000E78EB" w:rsidRPr="00A834C9">
              <w:rPr>
                <w:rFonts w:ascii="Calibri" w:eastAsia="Calibri" w:hAnsi="Calibri"/>
                <w:szCs w:val="24"/>
              </w:rPr>
              <w:t xml:space="preserve"> </w:t>
            </w:r>
            <w:r w:rsidRPr="00A834C9">
              <w:rPr>
                <w:rFonts w:ascii="Calibri" w:eastAsia="Calibri" w:hAnsi="Calibri"/>
                <w:szCs w:val="24"/>
              </w:rPr>
              <w:t>continue</w:t>
            </w:r>
            <w:r w:rsidR="000E78EB">
              <w:rPr>
                <w:rFonts w:ascii="Calibri" w:eastAsia="Calibri" w:hAnsi="Calibri"/>
                <w:szCs w:val="24"/>
              </w:rPr>
              <w:t>d</w:t>
            </w:r>
            <w:r w:rsidRPr="00A834C9">
              <w:rPr>
                <w:rFonts w:ascii="Calibri" w:eastAsia="Calibri" w:hAnsi="Calibri"/>
                <w:szCs w:val="24"/>
              </w:rPr>
              <w:t xml:space="preserve"> support </w:t>
            </w:r>
            <w:r w:rsidR="000E78EB">
              <w:rPr>
                <w:rFonts w:ascii="Calibri" w:eastAsia="Calibri" w:hAnsi="Calibri"/>
                <w:szCs w:val="24"/>
              </w:rPr>
              <w:t xml:space="preserve">for </w:t>
            </w:r>
            <w:r w:rsidRPr="00A834C9">
              <w:rPr>
                <w:rFonts w:ascii="Calibri" w:eastAsia="Calibri" w:hAnsi="Calibri"/>
                <w:szCs w:val="24"/>
              </w:rPr>
              <w:t xml:space="preserve">the processing of enrollment and payment files for the State of Indiana. NoCheck </w:t>
            </w:r>
            <w:r w:rsidR="000E78EB">
              <w:rPr>
                <w:rFonts w:ascii="Calibri" w:eastAsia="Calibri" w:hAnsi="Calibri"/>
                <w:szCs w:val="24"/>
              </w:rPr>
              <w:t>will</w:t>
            </w:r>
            <w:r w:rsidRPr="00A834C9">
              <w:rPr>
                <w:rFonts w:ascii="Calibri" w:eastAsia="Calibri" w:hAnsi="Calibri"/>
                <w:szCs w:val="24"/>
              </w:rPr>
              <w:t xml:space="preserve"> continue to provide the interface from DWD and set up the files to direct deposit funds </w:t>
            </w:r>
            <w:r w:rsidR="00B85D4E">
              <w:rPr>
                <w:rFonts w:ascii="Calibri" w:eastAsia="Calibri" w:hAnsi="Calibri"/>
                <w:szCs w:val="24"/>
              </w:rPr>
              <w:t>for</w:t>
            </w:r>
            <w:r w:rsidR="00B85D4E" w:rsidRPr="00A834C9">
              <w:rPr>
                <w:rFonts w:ascii="Calibri" w:eastAsia="Calibri" w:hAnsi="Calibri"/>
                <w:szCs w:val="24"/>
              </w:rPr>
              <w:t xml:space="preserve"> </w:t>
            </w:r>
            <w:r w:rsidR="00401342">
              <w:rPr>
                <w:rFonts w:ascii="Calibri" w:eastAsia="Calibri" w:hAnsi="Calibri"/>
                <w:szCs w:val="24"/>
              </w:rPr>
              <w:t xml:space="preserve">payment, either to </w:t>
            </w:r>
            <w:r w:rsidRPr="00A834C9">
              <w:rPr>
                <w:rFonts w:ascii="Calibri" w:eastAsia="Calibri" w:hAnsi="Calibri"/>
                <w:szCs w:val="24"/>
              </w:rPr>
              <w:t>a claimant’s bank account</w:t>
            </w:r>
            <w:r w:rsidR="00401342">
              <w:rPr>
                <w:rFonts w:ascii="Calibri" w:eastAsia="Calibri" w:hAnsi="Calibri"/>
                <w:szCs w:val="24"/>
              </w:rPr>
              <w:t>,</w:t>
            </w:r>
            <w:r w:rsidRPr="00A834C9">
              <w:rPr>
                <w:rFonts w:ascii="Calibri" w:eastAsia="Calibri" w:hAnsi="Calibri"/>
                <w:szCs w:val="24"/>
              </w:rPr>
              <w:t xml:space="preserve"> the U.S. Bank debit card </w:t>
            </w:r>
            <w:r w:rsidR="00401342">
              <w:rPr>
                <w:rFonts w:ascii="Calibri" w:eastAsia="Calibri" w:hAnsi="Calibri"/>
                <w:szCs w:val="24"/>
              </w:rPr>
              <w:t xml:space="preserve">or by </w:t>
            </w:r>
            <w:proofErr w:type="spellStart"/>
            <w:r w:rsidR="005D2C4E">
              <w:rPr>
                <w:rFonts w:ascii="Calibri" w:eastAsia="Calibri" w:hAnsi="Calibri"/>
                <w:szCs w:val="24"/>
              </w:rPr>
              <w:t>e</w:t>
            </w:r>
            <w:r w:rsidR="00401342">
              <w:rPr>
                <w:rFonts w:ascii="Calibri" w:eastAsia="Calibri" w:hAnsi="Calibri"/>
                <w:szCs w:val="24"/>
              </w:rPr>
              <w:t>check</w:t>
            </w:r>
            <w:proofErr w:type="spellEnd"/>
            <w:r w:rsidRPr="00A834C9">
              <w:rPr>
                <w:rFonts w:ascii="Calibri" w:eastAsia="Calibri" w:hAnsi="Calibri"/>
                <w:szCs w:val="24"/>
              </w:rPr>
              <w:t xml:space="preserve">. In addition, future functionality could include expanding </w:t>
            </w:r>
            <w:r w:rsidRPr="00A834C9">
              <w:rPr>
                <w:rFonts w:ascii="Calibri" w:eastAsia="Calibri" w:hAnsi="Calibri"/>
                <w:szCs w:val="24"/>
              </w:rPr>
              <w:lastRenderedPageBreak/>
              <w:t>payment options to potentially include a virtual card for a claimant for use with Apple</w:t>
            </w:r>
            <w:r w:rsidR="00162335">
              <w:rPr>
                <w:rFonts w:ascii="Calibri" w:eastAsia="Calibri" w:hAnsi="Calibri" w:cs="Calibri"/>
                <w:szCs w:val="24"/>
              </w:rPr>
              <w:t>®</w:t>
            </w:r>
            <w:r w:rsidRPr="00A834C9">
              <w:rPr>
                <w:rFonts w:ascii="Calibri" w:eastAsia="Calibri" w:hAnsi="Calibri"/>
                <w:szCs w:val="24"/>
              </w:rPr>
              <w:t xml:space="preserve"> Pay or Google</w:t>
            </w:r>
            <w:r w:rsidR="00162335">
              <w:rPr>
                <w:rFonts w:ascii="Calibri" w:eastAsia="Calibri" w:hAnsi="Calibri" w:cs="Calibri"/>
                <w:szCs w:val="24"/>
              </w:rPr>
              <w:t>®</w:t>
            </w:r>
            <w:r w:rsidRPr="00A834C9">
              <w:rPr>
                <w:rFonts w:ascii="Calibri" w:eastAsia="Calibri" w:hAnsi="Calibri"/>
                <w:szCs w:val="24"/>
              </w:rPr>
              <w:t xml:space="preserve"> Pay.</w:t>
            </w:r>
          </w:p>
          <w:p w14:paraId="53E6691F" w14:textId="72731D5E" w:rsidR="00A834C9" w:rsidRPr="00A834C9" w:rsidRDefault="00A834C9" w:rsidP="00A834C9">
            <w:pPr>
              <w:widowControl/>
              <w:spacing w:after="160" w:line="259" w:lineRule="auto"/>
              <w:rPr>
                <w:rFonts w:ascii="Calibri" w:eastAsia="Calibri" w:hAnsi="Calibri"/>
                <w:szCs w:val="24"/>
              </w:rPr>
            </w:pPr>
            <w:r w:rsidRPr="00A834C9">
              <w:rPr>
                <w:rFonts w:ascii="Calibri" w:eastAsia="Calibri" w:hAnsi="Calibri"/>
                <w:szCs w:val="24"/>
              </w:rPr>
              <w:t xml:space="preserve">We highly recommend offering a prepaid card program as one of the options for benefit disbursement. Offering a prepaid card incorporates a simple, electronic payment method for unbanked or underbanked </w:t>
            </w:r>
            <w:r w:rsidR="00162335">
              <w:rPr>
                <w:rFonts w:ascii="Calibri" w:eastAsia="Calibri" w:hAnsi="Calibri"/>
                <w:szCs w:val="24"/>
              </w:rPr>
              <w:t>claimants</w:t>
            </w:r>
            <w:r w:rsidR="00162335" w:rsidRPr="00A834C9">
              <w:rPr>
                <w:rFonts w:ascii="Calibri" w:eastAsia="Calibri" w:hAnsi="Calibri"/>
                <w:szCs w:val="24"/>
              </w:rPr>
              <w:t xml:space="preserve"> </w:t>
            </w:r>
            <w:r w:rsidRPr="00A834C9">
              <w:rPr>
                <w:rFonts w:ascii="Calibri" w:eastAsia="Calibri" w:hAnsi="Calibri"/>
                <w:szCs w:val="24"/>
              </w:rPr>
              <w:t>and allows DWD to ensure that every qualified recipient is able to receive their benefit payments quickly</w:t>
            </w:r>
            <w:r w:rsidR="00A82A0B">
              <w:rPr>
                <w:rFonts w:ascii="Calibri" w:eastAsia="Calibri" w:hAnsi="Calibri"/>
                <w:szCs w:val="24"/>
              </w:rPr>
              <w:t xml:space="preserve"> and</w:t>
            </w:r>
            <w:r w:rsidR="00FD41FB">
              <w:rPr>
                <w:rFonts w:ascii="Calibri" w:eastAsia="Calibri" w:hAnsi="Calibri"/>
                <w:szCs w:val="24"/>
              </w:rPr>
              <w:t xml:space="preserve"> </w:t>
            </w:r>
            <w:r w:rsidRPr="00A834C9">
              <w:rPr>
                <w:rFonts w:ascii="Calibri" w:eastAsia="Calibri" w:hAnsi="Calibri"/>
                <w:szCs w:val="24"/>
              </w:rPr>
              <w:t>efficiently</w:t>
            </w:r>
            <w:r w:rsidR="00A82A0B">
              <w:rPr>
                <w:rFonts w:ascii="Calibri" w:eastAsia="Calibri" w:hAnsi="Calibri"/>
                <w:szCs w:val="24"/>
              </w:rPr>
              <w:t>.</w:t>
            </w:r>
            <w:r w:rsidRPr="00A834C9">
              <w:rPr>
                <w:rFonts w:ascii="Calibri" w:eastAsia="Calibri" w:hAnsi="Calibri"/>
                <w:szCs w:val="24"/>
              </w:rPr>
              <w:t xml:space="preserve"> </w:t>
            </w:r>
            <w:r w:rsidR="00A82A0B">
              <w:rPr>
                <w:rFonts w:ascii="Calibri" w:eastAsia="Calibri" w:hAnsi="Calibri"/>
                <w:szCs w:val="24"/>
              </w:rPr>
              <w:t>Prepaid Debit Cards</w:t>
            </w:r>
            <w:r w:rsidR="002142A7">
              <w:rPr>
                <w:rFonts w:ascii="Calibri" w:eastAsia="Calibri" w:hAnsi="Calibri"/>
                <w:szCs w:val="24"/>
              </w:rPr>
              <w:t xml:space="preserve"> help</w:t>
            </w:r>
            <w:r w:rsidRPr="00A834C9">
              <w:rPr>
                <w:rFonts w:ascii="Calibri" w:eastAsia="Calibri" w:hAnsi="Calibri"/>
                <w:szCs w:val="24"/>
              </w:rPr>
              <w:t xml:space="preserve"> lower the cost</w:t>
            </w:r>
            <w:r w:rsidR="002142A7">
              <w:rPr>
                <w:rFonts w:ascii="Calibri" w:eastAsia="Calibri" w:hAnsi="Calibri"/>
                <w:szCs w:val="24"/>
              </w:rPr>
              <w:t xml:space="preserve"> to the claimant by eliminating check cashing fess. </w:t>
            </w:r>
            <w:r w:rsidRPr="00A834C9">
              <w:rPr>
                <w:rFonts w:ascii="Calibri" w:eastAsia="Calibri" w:hAnsi="Calibri"/>
                <w:szCs w:val="24"/>
              </w:rPr>
              <w:t xml:space="preserve"> </w:t>
            </w:r>
            <w:r w:rsidR="00CE2413">
              <w:rPr>
                <w:rFonts w:ascii="Calibri" w:eastAsia="Calibri" w:hAnsi="Calibri"/>
                <w:szCs w:val="24"/>
              </w:rPr>
              <w:t xml:space="preserve">They are also much more cost efficient </w:t>
            </w:r>
            <w:r w:rsidR="001A2C4F">
              <w:rPr>
                <w:rFonts w:ascii="Calibri" w:eastAsia="Calibri" w:hAnsi="Calibri"/>
                <w:szCs w:val="24"/>
              </w:rPr>
              <w:t>for the State as opposed to issuance of a paper check</w:t>
            </w:r>
            <w:r w:rsidRPr="00A834C9">
              <w:rPr>
                <w:rFonts w:ascii="Calibri" w:eastAsia="Calibri" w:hAnsi="Calibri"/>
                <w:szCs w:val="24"/>
              </w:rPr>
              <w:t xml:space="preserve">. </w:t>
            </w:r>
          </w:p>
          <w:p w14:paraId="495BB303" w14:textId="6AA684AD" w:rsidR="00A834C9" w:rsidRPr="00A834C9" w:rsidRDefault="00A834C9" w:rsidP="00A834C9">
            <w:pPr>
              <w:widowControl/>
              <w:spacing w:after="160" w:line="259" w:lineRule="auto"/>
              <w:rPr>
                <w:rFonts w:ascii="Calibri" w:eastAsia="Calibri" w:hAnsi="Calibri"/>
                <w:szCs w:val="24"/>
              </w:rPr>
            </w:pPr>
            <w:r w:rsidRPr="00A834C9">
              <w:rPr>
                <w:rFonts w:ascii="Calibri" w:eastAsia="Calibri" w:hAnsi="Calibri"/>
                <w:szCs w:val="24"/>
              </w:rPr>
              <w:t xml:space="preserve">The ReliaCard program was built to support government benefit programs just like yours. It is extremely well received by cardholders and allows for numerous ways to use the card at no cost. In just the past </w:t>
            </w:r>
            <w:r w:rsidR="00064C04">
              <w:rPr>
                <w:rFonts w:ascii="Calibri" w:eastAsia="Calibri" w:hAnsi="Calibri"/>
                <w:szCs w:val="24"/>
              </w:rPr>
              <w:t>couple of</w:t>
            </w:r>
            <w:r w:rsidR="00064C04" w:rsidRPr="00A834C9">
              <w:rPr>
                <w:rFonts w:ascii="Calibri" w:eastAsia="Calibri" w:hAnsi="Calibri"/>
                <w:szCs w:val="24"/>
              </w:rPr>
              <w:t xml:space="preserve"> </w:t>
            </w:r>
            <w:r w:rsidRPr="00A834C9">
              <w:rPr>
                <w:rFonts w:ascii="Calibri" w:eastAsia="Calibri" w:hAnsi="Calibri"/>
                <w:szCs w:val="24"/>
              </w:rPr>
              <w:t>years alone, ReliaCard has been actively used by more than 3 million cardholders across the country. Today, it is used by 2</w:t>
            </w:r>
            <w:r w:rsidR="00AE143A">
              <w:rPr>
                <w:rFonts w:ascii="Calibri" w:eastAsia="Calibri" w:hAnsi="Calibri"/>
                <w:szCs w:val="24"/>
              </w:rPr>
              <w:t>6</w:t>
            </w:r>
            <w:r w:rsidRPr="00A834C9">
              <w:rPr>
                <w:rFonts w:ascii="Calibri" w:eastAsia="Calibri" w:hAnsi="Calibri"/>
                <w:szCs w:val="24"/>
              </w:rPr>
              <w:t xml:space="preserve"> state unemployment agencies. With this level of experience, U.S. Bank is fully capable of providing a no-cost/low-cost debit card program for DWD.</w:t>
            </w:r>
          </w:p>
          <w:p w14:paraId="35BFABC1" w14:textId="2ADA4CF3" w:rsidR="00B05F73" w:rsidRDefault="00B05F73" w:rsidP="00B05F73">
            <w:pPr>
              <w:rPr>
                <w:rFonts w:asciiTheme="minorHAnsi" w:hAnsiTheme="minorHAnsi" w:cstheme="minorHAnsi"/>
                <w:b/>
                <w:color w:val="000000" w:themeColor="text1"/>
              </w:rPr>
            </w:pPr>
          </w:p>
        </w:tc>
      </w:tr>
      <w:bookmarkEnd w:id="3"/>
    </w:tbl>
    <w:p w14:paraId="449852C0" w14:textId="77777777" w:rsidR="00B05F73" w:rsidRPr="0002578B" w:rsidRDefault="00B05F73" w:rsidP="00B05F73">
      <w:pPr>
        <w:rPr>
          <w:rFonts w:asciiTheme="minorHAnsi" w:hAnsiTheme="minorHAnsi" w:cstheme="minorHAnsi"/>
          <w:b/>
          <w:color w:val="000000" w:themeColor="text1"/>
        </w:rPr>
      </w:pPr>
    </w:p>
    <w:p w14:paraId="0B98A3C3" w14:textId="5495B038" w:rsidR="74867A2D" w:rsidRPr="00780F9E" w:rsidRDefault="74867A2D"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Please address how you will meet all the requirements in section 1.2 in the SOW?</w:t>
      </w:r>
    </w:p>
    <w:p w14:paraId="27C68168" w14:textId="70A24DDC" w:rsidR="3184F79F" w:rsidRDefault="3184F79F" w:rsidP="54DB3C2A">
      <w:pPr>
        <w:spacing w:line="271" w:lineRule="auto"/>
        <w:ind w:left="360" w:hanging="360"/>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rsidRPr="00B05F73" w14:paraId="78F4F86E" w14:textId="77777777" w:rsidTr="00B05F73">
        <w:tc>
          <w:tcPr>
            <w:tcW w:w="9350" w:type="dxa"/>
            <w:shd w:val="clear" w:color="auto" w:fill="92D050"/>
          </w:tcPr>
          <w:p w14:paraId="0EDE15BF" w14:textId="5DF598BC" w:rsidR="00B05F73" w:rsidRPr="00260BE7" w:rsidRDefault="00174563" w:rsidP="00B05F73">
            <w:pPr>
              <w:rPr>
                <w:rFonts w:asciiTheme="minorHAnsi" w:hAnsiTheme="minorHAnsi" w:cstheme="minorHAnsi"/>
                <w:bCs/>
                <w:color w:val="000000" w:themeColor="text1"/>
              </w:rPr>
            </w:pPr>
            <w:r>
              <w:rPr>
                <w:rFonts w:asciiTheme="minorHAnsi" w:hAnsiTheme="minorHAnsi" w:cstheme="minorHAnsi"/>
                <w:bCs/>
                <w:color w:val="000000" w:themeColor="text1"/>
              </w:rPr>
              <w:t xml:space="preserve">See attached Executive </w:t>
            </w:r>
            <w:commentRangeStart w:id="4"/>
            <w:r>
              <w:rPr>
                <w:rFonts w:asciiTheme="minorHAnsi" w:hAnsiTheme="minorHAnsi" w:cstheme="minorHAnsi"/>
                <w:bCs/>
                <w:color w:val="000000" w:themeColor="text1"/>
              </w:rPr>
              <w:t>Summary</w:t>
            </w:r>
            <w:commentRangeEnd w:id="4"/>
            <w:r w:rsidR="00FD0CB4">
              <w:rPr>
                <w:rStyle w:val="CommentReference"/>
              </w:rPr>
              <w:commentReference w:id="4"/>
            </w:r>
            <w:r>
              <w:rPr>
                <w:rFonts w:asciiTheme="minorHAnsi" w:hAnsiTheme="minorHAnsi" w:cstheme="minorHAnsi"/>
                <w:bCs/>
                <w:color w:val="000000" w:themeColor="text1"/>
              </w:rPr>
              <w:t>.</w:t>
            </w:r>
          </w:p>
        </w:tc>
      </w:tr>
    </w:tbl>
    <w:p w14:paraId="1D91EA88" w14:textId="77777777" w:rsidR="00B05F73" w:rsidRDefault="00B05F73" w:rsidP="54DB3C2A">
      <w:pPr>
        <w:spacing w:line="271" w:lineRule="auto"/>
        <w:ind w:left="360" w:hanging="360"/>
        <w:rPr>
          <w:rFonts w:asciiTheme="majorHAnsi" w:eastAsiaTheme="majorEastAsia" w:hAnsiTheme="majorHAnsi" w:cstheme="majorBidi"/>
          <w:sz w:val="22"/>
          <w:szCs w:val="22"/>
        </w:rPr>
      </w:pPr>
    </w:p>
    <w:p w14:paraId="434B0689" w14:textId="7E5408E3" w:rsidR="00AD5F1C" w:rsidRPr="00780F9E" w:rsidRDefault="18E5B1E2"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 xml:space="preserve">How </w:t>
      </w:r>
      <w:r w:rsidR="669C31BF" w:rsidRPr="00780F9E">
        <w:rPr>
          <w:rFonts w:asciiTheme="minorHAnsi" w:hAnsiTheme="minorHAnsi" w:cstheme="minorHAnsi"/>
          <w:color w:val="000000" w:themeColor="text1"/>
          <w:szCs w:val="24"/>
        </w:rPr>
        <w:t xml:space="preserve">many payment distribution methods does the Vendor anticipate being able to offer?  </w:t>
      </w:r>
    </w:p>
    <w:p w14:paraId="78E5F98D" w14:textId="77777777" w:rsidR="00B05F73" w:rsidRDefault="00B05F73" w:rsidP="00B05F73">
      <w:pPr>
        <w:pStyle w:val="ListParagraph"/>
        <w:spacing w:line="271" w:lineRule="auto"/>
        <w:ind w:left="360"/>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rsidRPr="00260BE7" w14:paraId="5E3D8953" w14:textId="77777777" w:rsidTr="0F11160B">
        <w:tc>
          <w:tcPr>
            <w:tcW w:w="9350" w:type="dxa"/>
            <w:shd w:val="clear" w:color="auto" w:fill="92D050"/>
          </w:tcPr>
          <w:p w14:paraId="243240D5" w14:textId="77777777" w:rsidR="00A834C9" w:rsidRPr="00A834C9" w:rsidRDefault="00A834C9" w:rsidP="00A834C9">
            <w:pPr>
              <w:widowControl/>
              <w:spacing w:after="160" w:line="259" w:lineRule="auto"/>
              <w:rPr>
                <w:rFonts w:ascii="Calibri" w:eastAsia="Calibri" w:hAnsi="Calibri"/>
                <w:szCs w:val="24"/>
              </w:rPr>
            </w:pPr>
            <w:r w:rsidRPr="00A834C9">
              <w:rPr>
                <w:rFonts w:ascii="Calibri" w:eastAsia="Calibri" w:hAnsi="Calibri"/>
                <w:szCs w:val="24"/>
              </w:rPr>
              <w:t>DWD unemployment claimants will be able to choose how they receive their benefits. They can opt to receive:</w:t>
            </w:r>
          </w:p>
          <w:p w14:paraId="36EDF8DB" w14:textId="77777777" w:rsidR="00A834C9" w:rsidRPr="00A834C9" w:rsidRDefault="00A834C9" w:rsidP="00A834C9">
            <w:pPr>
              <w:widowControl/>
              <w:spacing w:after="160" w:line="259" w:lineRule="auto"/>
              <w:rPr>
                <w:rFonts w:ascii="Calibri" w:eastAsia="Calibri" w:hAnsi="Calibri"/>
                <w:szCs w:val="24"/>
              </w:rPr>
            </w:pPr>
            <w:r w:rsidRPr="00A834C9">
              <w:rPr>
                <w:rFonts w:ascii="Calibri" w:eastAsia="Calibri" w:hAnsi="Calibri"/>
                <w:szCs w:val="24"/>
              </w:rPr>
              <w:t>1.</w:t>
            </w:r>
            <w:r w:rsidRPr="00A834C9">
              <w:rPr>
                <w:rFonts w:ascii="Calibri" w:eastAsia="Calibri" w:hAnsi="Calibri"/>
                <w:szCs w:val="24"/>
              </w:rPr>
              <w:tab/>
              <w:t>Direct deposit to a bank account</w:t>
            </w:r>
          </w:p>
          <w:p w14:paraId="6270BC5A" w14:textId="7C9FF75B" w:rsidR="00A834C9" w:rsidRPr="00A834C9" w:rsidRDefault="00FD41FB" w:rsidP="0F11160B">
            <w:pPr>
              <w:widowControl/>
              <w:spacing w:after="160" w:line="259" w:lineRule="auto"/>
              <w:rPr>
                <w:rFonts w:ascii="Calibri" w:eastAsia="Calibri" w:hAnsi="Calibri"/>
              </w:rPr>
            </w:pPr>
            <w:r>
              <w:rPr>
                <w:rFonts w:ascii="Calibri" w:eastAsia="Calibri" w:hAnsi="Calibri"/>
              </w:rPr>
              <w:t xml:space="preserve">2.        </w:t>
            </w:r>
            <w:r w:rsidR="28D77AB6" w:rsidRPr="0F11160B">
              <w:rPr>
                <w:rFonts w:ascii="Calibri" w:eastAsia="Calibri" w:hAnsi="Calibri"/>
              </w:rPr>
              <w:t>Direct deposit to a U.S. Bank ReliaCard</w:t>
            </w:r>
          </w:p>
          <w:p w14:paraId="19F6BDE3" w14:textId="3B34489D" w:rsidR="00A834C9" w:rsidRPr="00A834C9" w:rsidRDefault="00A834C9" w:rsidP="00A834C9">
            <w:pPr>
              <w:widowControl/>
              <w:spacing w:after="160" w:line="259" w:lineRule="auto"/>
              <w:rPr>
                <w:rFonts w:ascii="Calibri" w:eastAsia="Calibri" w:hAnsi="Calibri"/>
                <w:szCs w:val="24"/>
              </w:rPr>
            </w:pPr>
            <w:r w:rsidRPr="00A834C9">
              <w:rPr>
                <w:rFonts w:ascii="Calibri" w:eastAsia="Calibri" w:hAnsi="Calibri"/>
                <w:szCs w:val="24"/>
              </w:rPr>
              <w:t>3.</w:t>
            </w:r>
            <w:r w:rsidRPr="00A834C9">
              <w:rPr>
                <w:rFonts w:ascii="Calibri" w:eastAsia="Calibri" w:hAnsi="Calibri"/>
                <w:szCs w:val="24"/>
              </w:rPr>
              <w:tab/>
              <w:t xml:space="preserve">Create and send a </w:t>
            </w:r>
            <w:proofErr w:type="spellStart"/>
            <w:r w:rsidR="00D82060">
              <w:rPr>
                <w:rFonts w:ascii="Calibri" w:eastAsia="Calibri" w:hAnsi="Calibri"/>
                <w:szCs w:val="24"/>
              </w:rPr>
              <w:t>e</w:t>
            </w:r>
            <w:r w:rsidRPr="00A834C9">
              <w:rPr>
                <w:rFonts w:ascii="Calibri" w:eastAsia="Calibri" w:hAnsi="Calibri"/>
                <w:szCs w:val="24"/>
              </w:rPr>
              <w:t>check</w:t>
            </w:r>
            <w:proofErr w:type="spellEnd"/>
          </w:p>
          <w:p w14:paraId="29DF643D" w14:textId="2DADCBBD" w:rsidR="00A834C9" w:rsidRPr="00A834C9" w:rsidRDefault="00A834C9" w:rsidP="00A834C9">
            <w:pPr>
              <w:widowControl/>
              <w:spacing w:after="160" w:line="259" w:lineRule="auto"/>
              <w:rPr>
                <w:rFonts w:ascii="Calibri" w:eastAsia="Calibri" w:hAnsi="Calibri"/>
                <w:szCs w:val="24"/>
              </w:rPr>
            </w:pPr>
            <w:r w:rsidRPr="00A834C9">
              <w:rPr>
                <w:rFonts w:ascii="Calibri" w:eastAsia="Calibri" w:hAnsi="Calibri"/>
                <w:szCs w:val="24"/>
              </w:rPr>
              <w:t xml:space="preserve">Future functionality, a </w:t>
            </w:r>
            <w:commentRangeStart w:id="5"/>
            <w:r w:rsidRPr="00A834C9">
              <w:rPr>
                <w:rFonts w:ascii="Calibri" w:eastAsia="Calibri" w:hAnsi="Calibri"/>
                <w:szCs w:val="24"/>
              </w:rPr>
              <w:t xml:space="preserve">virtual debit card </w:t>
            </w:r>
            <w:commentRangeEnd w:id="5"/>
            <w:r w:rsidR="00C90A52">
              <w:rPr>
                <w:rStyle w:val="CommentReference"/>
              </w:rPr>
              <w:commentReference w:id="5"/>
            </w:r>
            <w:r w:rsidRPr="00A834C9">
              <w:rPr>
                <w:rFonts w:ascii="Calibri" w:eastAsia="Calibri" w:hAnsi="Calibri"/>
                <w:szCs w:val="24"/>
              </w:rPr>
              <w:t>for use with Apple or Google Pay</w:t>
            </w:r>
          </w:p>
          <w:p w14:paraId="63B62886" w14:textId="150BA84F" w:rsidR="00B05F73" w:rsidRPr="00260BE7" w:rsidRDefault="00B05F73" w:rsidP="00B05F73">
            <w:pPr>
              <w:spacing w:line="271" w:lineRule="auto"/>
              <w:rPr>
                <w:rFonts w:asciiTheme="majorHAnsi" w:eastAsiaTheme="majorEastAsia" w:hAnsiTheme="majorHAnsi" w:cstheme="majorBidi"/>
                <w:sz w:val="22"/>
                <w:szCs w:val="22"/>
              </w:rPr>
            </w:pPr>
          </w:p>
        </w:tc>
      </w:tr>
    </w:tbl>
    <w:p w14:paraId="1A0C2AFC"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1375B77C" w14:textId="4FEE1945" w:rsidR="5AC18F19" w:rsidRDefault="5AC18F19" w:rsidP="5AC18F19">
      <w:pPr>
        <w:spacing w:line="271" w:lineRule="auto"/>
        <w:rPr>
          <w:szCs w:val="24"/>
        </w:rPr>
      </w:pPr>
    </w:p>
    <w:p w14:paraId="1F8CD380" w14:textId="29A397A0" w:rsidR="00AD5F1C" w:rsidRPr="00780F9E" w:rsidRDefault="2EEBDDB3"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Please list your payment distribution options.</w:t>
      </w:r>
      <w:r w:rsidR="74867A2D" w:rsidRPr="00780F9E">
        <w:rPr>
          <w:rFonts w:asciiTheme="minorHAnsi" w:hAnsiTheme="minorHAnsi" w:cstheme="minorHAnsi"/>
          <w:color w:val="000000" w:themeColor="text1"/>
          <w:szCs w:val="24"/>
        </w:rPr>
        <w:t xml:space="preserve"> </w:t>
      </w:r>
      <w:r w:rsidR="669C31BF" w:rsidRPr="00780F9E">
        <w:rPr>
          <w:rFonts w:asciiTheme="minorHAnsi" w:hAnsiTheme="minorHAnsi" w:cstheme="minorHAnsi"/>
          <w:color w:val="000000" w:themeColor="text1"/>
          <w:szCs w:val="24"/>
        </w:rPr>
        <w:t>What is the Vendor’s preferred default distribution method?</w:t>
      </w:r>
    </w:p>
    <w:p w14:paraId="03FCA347" w14:textId="1756B646"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6B773757" w14:textId="77777777" w:rsidTr="0F11160B">
        <w:tc>
          <w:tcPr>
            <w:tcW w:w="9350" w:type="dxa"/>
            <w:shd w:val="clear" w:color="auto" w:fill="92D050"/>
          </w:tcPr>
          <w:p w14:paraId="0218928A" w14:textId="1FB8C81C" w:rsidR="00A677FA" w:rsidRPr="00A834C9" w:rsidRDefault="009F4319" w:rsidP="00A677FA">
            <w:pPr>
              <w:widowControl/>
              <w:spacing w:after="160" w:line="259" w:lineRule="auto"/>
              <w:rPr>
                <w:rFonts w:ascii="Calibri" w:eastAsia="Calibri" w:hAnsi="Calibri"/>
                <w:szCs w:val="24"/>
              </w:rPr>
            </w:pPr>
            <w:r>
              <w:rPr>
                <w:rFonts w:ascii="Calibri" w:eastAsia="Calibri" w:hAnsi="Calibri"/>
              </w:rPr>
              <w:lastRenderedPageBreak/>
              <w:t xml:space="preserve">NoCheck Group will offer </w:t>
            </w:r>
            <w:r w:rsidR="00A677FA">
              <w:rPr>
                <w:rFonts w:ascii="Calibri" w:eastAsia="Calibri" w:hAnsi="Calibri"/>
              </w:rPr>
              <w:t>three</w:t>
            </w:r>
            <w:r>
              <w:rPr>
                <w:rFonts w:ascii="Calibri" w:eastAsia="Calibri" w:hAnsi="Calibri"/>
              </w:rPr>
              <w:t xml:space="preserve"> </w:t>
            </w:r>
            <w:r w:rsidR="002C71A7">
              <w:rPr>
                <w:rFonts w:ascii="Calibri" w:eastAsia="Calibri" w:hAnsi="Calibri"/>
              </w:rPr>
              <w:t xml:space="preserve">payment distribution options to claimants.  </w:t>
            </w:r>
            <w:r w:rsidR="00A677FA" w:rsidRPr="00A834C9">
              <w:rPr>
                <w:rFonts w:ascii="Calibri" w:eastAsia="Calibri" w:hAnsi="Calibri"/>
                <w:szCs w:val="24"/>
              </w:rPr>
              <w:t>They can opt to receive:</w:t>
            </w:r>
          </w:p>
          <w:p w14:paraId="03BA6FCF" w14:textId="7A389D56" w:rsidR="00A677FA" w:rsidRPr="00A834C9" w:rsidRDefault="00A677FA" w:rsidP="00A677FA">
            <w:pPr>
              <w:widowControl/>
              <w:spacing w:after="160" w:line="259" w:lineRule="auto"/>
              <w:rPr>
                <w:rFonts w:ascii="Calibri" w:eastAsia="Calibri" w:hAnsi="Calibri"/>
                <w:szCs w:val="24"/>
              </w:rPr>
            </w:pPr>
            <w:r w:rsidRPr="00A834C9">
              <w:rPr>
                <w:rFonts w:ascii="Calibri" w:eastAsia="Calibri" w:hAnsi="Calibri"/>
                <w:szCs w:val="24"/>
              </w:rPr>
              <w:t>1.</w:t>
            </w:r>
            <w:r w:rsidR="00DB5067">
              <w:rPr>
                <w:rFonts w:ascii="Calibri" w:eastAsia="Calibri" w:hAnsi="Calibri"/>
                <w:szCs w:val="24"/>
              </w:rPr>
              <w:t xml:space="preserve"> </w:t>
            </w:r>
            <w:r w:rsidRPr="00A834C9">
              <w:rPr>
                <w:rFonts w:ascii="Calibri" w:eastAsia="Calibri" w:hAnsi="Calibri"/>
                <w:szCs w:val="24"/>
              </w:rPr>
              <w:t>Direct deposit to a bank account</w:t>
            </w:r>
          </w:p>
          <w:p w14:paraId="22600A1B" w14:textId="55BA6910" w:rsidR="00A677FA" w:rsidRPr="00A834C9" w:rsidRDefault="00DB5067" w:rsidP="00A677FA">
            <w:pPr>
              <w:widowControl/>
              <w:spacing w:after="160" w:line="259" w:lineRule="auto"/>
              <w:rPr>
                <w:rFonts w:ascii="Calibri" w:eastAsia="Calibri" w:hAnsi="Calibri"/>
              </w:rPr>
            </w:pPr>
            <w:r>
              <w:rPr>
                <w:rFonts w:ascii="Calibri" w:eastAsia="Calibri" w:hAnsi="Calibri"/>
              </w:rPr>
              <w:t xml:space="preserve">2. </w:t>
            </w:r>
            <w:r w:rsidR="00A677FA" w:rsidRPr="0F11160B">
              <w:rPr>
                <w:rFonts w:ascii="Calibri" w:eastAsia="Calibri" w:hAnsi="Calibri"/>
              </w:rPr>
              <w:t>Direct deposit to a U.S. Bank ReliaCard</w:t>
            </w:r>
          </w:p>
          <w:p w14:paraId="5970773A" w14:textId="1D6F444C" w:rsidR="00A677FA" w:rsidRPr="00A834C9" w:rsidRDefault="00A677FA" w:rsidP="00A677FA">
            <w:pPr>
              <w:widowControl/>
              <w:spacing w:after="160" w:line="259" w:lineRule="auto"/>
              <w:rPr>
                <w:rFonts w:ascii="Calibri" w:eastAsia="Calibri" w:hAnsi="Calibri"/>
                <w:szCs w:val="24"/>
              </w:rPr>
            </w:pPr>
            <w:r w:rsidRPr="00A834C9">
              <w:rPr>
                <w:rFonts w:ascii="Calibri" w:eastAsia="Calibri" w:hAnsi="Calibri"/>
                <w:szCs w:val="24"/>
              </w:rPr>
              <w:t>3.</w:t>
            </w:r>
            <w:r w:rsidR="00DB5067">
              <w:rPr>
                <w:rFonts w:ascii="Calibri" w:eastAsia="Calibri" w:hAnsi="Calibri"/>
                <w:szCs w:val="24"/>
              </w:rPr>
              <w:t xml:space="preserve"> </w:t>
            </w:r>
            <w:r w:rsidRPr="00A834C9">
              <w:rPr>
                <w:rFonts w:ascii="Calibri" w:eastAsia="Calibri" w:hAnsi="Calibri"/>
                <w:szCs w:val="24"/>
              </w:rPr>
              <w:t xml:space="preserve">Create and send a </w:t>
            </w:r>
            <w:proofErr w:type="spellStart"/>
            <w:r w:rsidR="005D2C4E">
              <w:rPr>
                <w:rFonts w:ascii="Calibri" w:eastAsia="Calibri" w:hAnsi="Calibri"/>
                <w:szCs w:val="24"/>
              </w:rPr>
              <w:t>e</w:t>
            </w:r>
            <w:r w:rsidRPr="00A834C9">
              <w:rPr>
                <w:rFonts w:ascii="Calibri" w:eastAsia="Calibri" w:hAnsi="Calibri"/>
                <w:szCs w:val="24"/>
              </w:rPr>
              <w:t>check</w:t>
            </w:r>
            <w:proofErr w:type="spellEnd"/>
          </w:p>
          <w:p w14:paraId="276D7CF7" w14:textId="15F98D23" w:rsidR="00A834C9" w:rsidRPr="00A834C9" w:rsidRDefault="00A834C9" w:rsidP="0F11160B">
            <w:pPr>
              <w:widowControl/>
              <w:spacing w:after="160" w:line="259" w:lineRule="auto"/>
              <w:rPr>
                <w:rFonts w:ascii="Calibri" w:eastAsia="Calibri" w:hAnsi="Calibri"/>
              </w:rPr>
            </w:pPr>
            <w:r w:rsidRPr="0F11160B">
              <w:rPr>
                <w:rFonts w:ascii="Calibri" w:eastAsia="Calibri" w:hAnsi="Calibri"/>
              </w:rPr>
              <w:t xml:space="preserve">We </w:t>
            </w:r>
            <w:r w:rsidR="001E48B3">
              <w:rPr>
                <w:rFonts w:ascii="Calibri" w:eastAsia="Calibri" w:hAnsi="Calibri"/>
              </w:rPr>
              <w:t xml:space="preserve">will work with DWD to </w:t>
            </w:r>
            <w:r w:rsidR="0094060B">
              <w:rPr>
                <w:rFonts w:ascii="Calibri" w:eastAsia="Calibri" w:hAnsi="Calibri"/>
              </w:rPr>
              <w:t xml:space="preserve">determine </w:t>
            </w:r>
            <w:r w:rsidR="0077614B">
              <w:rPr>
                <w:rFonts w:ascii="Calibri" w:eastAsia="Calibri" w:hAnsi="Calibri"/>
              </w:rPr>
              <w:t>the best default option for your claimants.</w:t>
            </w:r>
            <w:r w:rsidRPr="0F11160B">
              <w:rPr>
                <w:rFonts w:ascii="Calibri" w:eastAsia="Calibri" w:hAnsi="Calibri"/>
              </w:rPr>
              <w:t xml:space="preserve"> </w:t>
            </w:r>
            <w:r w:rsidR="00875C9B">
              <w:rPr>
                <w:rFonts w:ascii="Calibri" w:eastAsia="Calibri" w:hAnsi="Calibri"/>
              </w:rPr>
              <w:t xml:space="preserve">The preferred option will be </w:t>
            </w:r>
            <w:r w:rsidR="009A1231">
              <w:rPr>
                <w:rFonts w:ascii="Calibri" w:eastAsia="Calibri" w:hAnsi="Calibri"/>
              </w:rPr>
              <w:t xml:space="preserve">the claimants receive direct deposit to their primary banking account.  For claimants that are unbanked or underbanked, </w:t>
            </w:r>
            <w:r w:rsidRPr="0F11160B">
              <w:rPr>
                <w:rFonts w:ascii="Calibri" w:eastAsia="Calibri" w:hAnsi="Calibri"/>
              </w:rPr>
              <w:t xml:space="preserve">the </w:t>
            </w:r>
            <w:r w:rsidR="37C871DF" w:rsidRPr="0F11160B">
              <w:rPr>
                <w:rFonts w:ascii="Calibri" w:eastAsia="Calibri" w:hAnsi="Calibri"/>
              </w:rPr>
              <w:t>U.S. Bank ReliaCard prepaid car</w:t>
            </w:r>
            <w:r w:rsidRPr="0F11160B">
              <w:rPr>
                <w:rFonts w:ascii="Calibri" w:eastAsia="Calibri" w:hAnsi="Calibri"/>
              </w:rPr>
              <w:t xml:space="preserve"> </w:t>
            </w:r>
            <w:r w:rsidR="00F1156A">
              <w:rPr>
                <w:rFonts w:ascii="Calibri" w:eastAsia="Calibri" w:hAnsi="Calibri"/>
              </w:rPr>
              <w:t>provides an alternative</w:t>
            </w:r>
            <w:r w:rsidR="00D51D6B">
              <w:rPr>
                <w:rFonts w:ascii="Calibri" w:eastAsia="Calibri" w:hAnsi="Calibri"/>
              </w:rPr>
              <w:t xml:space="preserve"> electronic</w:t>
            </w:r>
            <w:r w:rsidR="00A41FBB">
              <w:rPr>
                <w:rFonts w:ascii="Calibri" w:eastAsia="Calibri" w:hAnsi="Calibri"/>
              </w:rPr>
              <w:t xml:space="preserve"> payment</w:t>
            </w:r>
            <w:r w:rsidRPr="0F11160B">
              <w:rPr>
                <w:rFonts w:ascii="Calibri" w:eastAsia="Calibri" w:hAnsi="Calibri"/>
              </w:rPr>
              <w:t xml:space="preserve"> distribution method. This allows DWD to ensure that every qualified recipient is able to receive their benefit payments electronically</w:t>
            </w:r>
            <w:r w:rsidR="00A41FBB">
              <w:rPr>
                <w:rFonts w:ascii="Calibri" w:eastAsia="Calibri" w:hAnsi="Calibri"/>
              </w:rPr>
              <w:t xml:space="preserve"> in a timely manner</w:t>
            </w:r>
            <w:r w:rsidRPr="0F11160B">
              <w:rPr>
                <w:rFonts w:ascii="Calibri" w:eastAsia="Calibri" w:hAnsi="Calibri"/>
              </w:rPr>
              <w:t xml:space="preserve">, including the unbanked or underbanked </w:t>
            </w:r>
            <w:r w:rsidR="009246BC">
              <w:rPr>
                <w:rFonts w:ascii="Calibri" w:eastAsia="Calibri" w:hAnsi="Calibri"/>
              </w:rPr>
              <w:t>claimant</w:t>
            </w:r>
            <w:r w:rsidR="009246BC" w:rsidRPr="0F11160B">
              <w:rPr>
                <w:rFonts w:ascii="Calibri" w:eastAsia="Calibri" w:hAnsi="Calibri"/>
              </w:rPr>
              <w:t>s</w:t>
            </w:r>
            <w:r w:rsidRPr="0F11160B">
              <w:rPr>
                <w:rFonts w:ascii="Calibri" w:eastAsia="Calibri" w:hAnsi="Calibri"/>
              </w:rPr>
              <w:t xml:space="preserve">. It also reduces the potential number checks your program will be required to send out.  </w:t>
            </w:r>
          </w:p>
          <w:p w14:paraId="25488DDE" w14:textId="66C3A763" w:rsidR="00B05F73" w:rsidRDefault="00B05F73" w:rsidP="00B05F73">
            <w:pPr>
              <w:spacing w:line="271" w:lineRule="auto"/>
              <w:rPr>
                <w:rFonts w:asciiTheme="majorHAnsi" w:eastAsiaTheme="majorEastAsia" w:hAnsiTheme="majorHAnsi" w:cstheme="majorBidi"/>
                <w:sz w:val="22"/>
                <w:szCs w:val="22"/>
              </w:rPr>
            </w:pPr>
          </w:p>
        </w:tc>
      </w:tr>
    </w:tbl>
    <w:p w14:paraId="749B60A9"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5C7725A1" w14:textId="49B63D39" w:rsidR="00AD5F1C" w:rsidRPr="00780F9E" w:rsidRDefault="669C31BF"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How does the Vendor intend to verify the identity of the individual receiving the distribution?</w:t>
      </w:r>
    </w:p>
    <w:p w14:paraId="6F5785AD" w14:textId="54F36E48"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499E0DF0" w14:textId="77777777" w:rsidTr="00B05F73">
        <w:tc>
          <w:tcPr>
            <w:tcW w:w="9350" w:type="dxa"/>
            <w:shd w:val="clear" w:color="auto" w:fill="92D050"/>
          </w:tcPr>
          <w:p w14:paraId="67A38C8E" w14:textId="384B9C2D" w:rsidR="00A834C9" w:rsidRPr="000E0989" w:rsidRDefault="00A834C9" w:rsidP="00A834C9">
            <w:pPr>
              <w:widowControl/>
              <w:spacing w:after="160" w:line="259" w:lineRule="auto"/>
              <w:rPr>
                <w:rFonts w:ascii="Calibri" w:eastAsia="Calibri" w:hAnsi="Calibri"/>
                <w:szCs w:val="24"/>
              </w:rPr>
            </w:pPr>
            <w:r w:rsidRPr="00A834C9">
              <w:rPr>
                <w:rFonts w:ascii="Calibri" w:eastAsia="Calibri" w:hAnsi="Calibri"/>
                <w:szCs w:val="24"/>
              </w:rPr>
              <w:t xml:space="preserve">NoCheck receives validated demographic information from the DWD, including claimant name, address, </w:t>
            </w:r>
            <w:proofErr w:type="gramStart"/>
            <w:r w:rsidRPr="00A834C9">
              <w:rPr>
                <w:rFonts w:ascii="Calibri" w:eastAsia="Calibri" w:hAnsi="Calibri"/>
                <w:szCs w:val="24"/>
              </w:rPr>
              <w:t>date</w:t>
            </w:r>
            <w:proofErr w:type="gramEnd"/>
            <w:r w:rsidRPr="00A834C9">
              <w:rPr>
                <w:rFonts w:ascii="Calibri" w:eastAsia="Calibri" w:hAnsi="Calibri"/>
                <w:szCs w:val="24"/>
              </w:rPr>
              <w:t xml:space="preserve"> of birth, phone number and Social Security number. At this point, the claimant is transferred seamlessly to the NoCheck portal in order to select their preferred payment method. If direct deposit, the claimant enters routing and account number bank information. NoCheck validates that the bank account belongs to the account holder</w:t>
            </w:r>
            <w:r w:rsidR="00352C75">
              <w:rPr>
                <w:rFonts w:ascii="Calibri" w:eastAsia="Calibri" w:hAnsi="Calibri"/>
                <w:szCs w:val="24"/>
              </w:rPr>
              <w:t xml:space="preserve"> in real time</w:t>
            </w:r>
            <w:r w:rsidRPr="00A834C9">
              <w:rPr>
                <w:rFonts w:ascii="Calibri" w:eastAsia="Calibri" w:hAnsi="Calibri"/>
                <w:szCs w:val="24"/>
              </w:rPr>
              <w:t xml:space="preserve"> and is open and in good standing</w:t>
            </w:r>
            <w:r w:rsidR="00C46EF7">
              <w:rPr>
                <w:rFonts w:ascii="Calibri" w:eastAsia="Calibri" w:hAnsi="Calibri"/>
                <w:szCs w:val="24"/>
              </w:rPr>
              <w:t xml:space="preserve"> </w:t>
            </w:r>
            <w:r w:rsidR="00853F57">
              <w:rPr>
                <w:rFonts w:ascii="Calibri" w:eastAsia="Calibri" w:hAnsi="Calibri"/>
                <w:szCs w:val="24"/>
              </w:rPr>
              <w:t>(The</w:t>
            </w:r>
            <w:r w:rsidR="00C46EF7">
              <w:rPr>
                <w:rFonts w:ascii="Calibri" w:eastAsia="Calibri" w:hAnsi="Calibri"/>
                <w:szCs w:val="24"/>
              </w:rPr>
              <w:t xml:space="preserve"> bank </w:t>
            </w:r>
            <w:r w:rsidR="00853F57" w:rsidRPr="00C46EF7">
              <w:rPr>
                <w:rFonts w:ascii="Calibri" w:eastAsia="Calibri" w:hAnsi="Calibri"/>
                <w:szCs w:val="24"/>
              </w:rPr>
              <w:t>verification</w:t>
            </w:r>
            <w:r w:rsidR="00853F57">
              <w:rPr>
                <w:rFonts w:ascii="Calibri" w:eastAsia="Calibri" w:hAnsi="Calibri"/>
                <w:szCs w:val="24"/>
              </w:rPr>
              <w:t>s</w:t>
            </w:r>
            <w:r w:rsidR="00C46EF7">
              <w:rPr>
                <w:rFonts w:ascii="Calibri" w:eastAsia="Calibri" w:hAnsi="Calibri"/>
                <w:szCs w:val="24"/>
              </w:rPr>
              <w:t xml:space="preserve"> not currently used by DWD, but is used by other states an</w:t>
            </w:r>
            <w:r w:rsidR="00853F57">
              <w:rPr>
                <w:rFonts w:ascii="Calibri" w:eastAsia="Calibri" w:hAnsi="Calibri"/>
                <w:szCs w:val="24"/>
              </w:rPr>
              <w:t>d</w:t>
            </w:r>
            <w:r w:rsidR="00C46EF7">
              <w:rPr>
                <w:rFonts w:ascii="Calibri" w:eastAsia="Calibri" w:hAnsi="Calibri"/>
                <w:szCs w:val="24"/>
              </w:rPr>
              <w:t xml:space="preserve"> other </w:t>
            </w:r>
            <w:r w:rsidR="00853F57">
              <w:rPr>
                <w:rFonts w:ascii="Calibri" w:eastAsia="Calibri" w:hAnsi="Calibri"/>
                <w:szCs w:val="24"/>
              </w:rPr>
              <w:t>large corporation client)</w:t>
            </w:r>
            <w:r w:rsidRPr="00A834C9">
              <w:rPr>
                <w:rFonts w:ascii="Calibri" w:eastAsia="Calibri" w:hAnsi="Calibri"/>
                <w:szCs w:val="24"/>
              </w:rPr>
              <w:t xml:space="preserve">. </w:t>
            </w:r>
            <w:r w:rsidR="00521B6F" w:rsidRPr="000E0989">
              <w:rPr>
                <w:rFonts w:ascii="Calibri" w:eastAsia="Calibri" w:hAnsi="Calibri"/>
                <w:szCs w:val="24"/>
              </w:rPr>
              <w:t>Proposed</w:t>
            </w:r>
            <w:r w:rsidRPr="00A834C9">
              <w:rPr>
                <w:rFonts w:ascii="Calibri" w:eastAsia="Calibri" w:hAnsi="Calibri"/>
                <w:szCs w:val="24"/>
              </w:rPr>
              <w:t xml:space="preserve"> functionalities may include driver’s license/ID verification and biometric verification.</w:t>
            </w:r>
            <w:r w:rsidR="00853F57">
              <w:rPr>
                <w:rFonts w:ascii="Calibri" w:eastAsia="Calibri" w:hAnsi="Calibri"/>
                <w:szCs w:val="24"/>
              </w:rPr>
              <w:t xml:space="preserve"> We will also be adding email and phone </w:t>
            </w:r>
            <w:r w:rsidR="00D82060">
              <w:rPr>
                <w:rFonts w:ascii="Calibri" w:eastAsia="Calibri" w:hAnsi="Calibri"/>
                <w:szCs w:val="24"/>
              </w:rPr>
              <w:t>varication</w:t>
            </w:r>
            <w:r w:rsidR="00853F57">
              <w:rPr>
                <w:rFonts w:ascii="Calibri" w:eastAsia="Calibri" w:hAnsi="Calibri"/>
                <w:szCs w:val="24"/>
              </w:rPr>
              <w:t>.</w:t>
            </w:r>
          </w:p>
          <w:p w14:paraId="66240CC2" w14:textId="77777777" w:rsidR="00A834C9" w:rsidRPr="00A834C9" w:rsidRDefault="00A834C9" w:rsidP="00A834C9">
            <w:pPr>
              <w:widowControl/>
              <w:spacing w:after="160" w:line="259" w:lineRule="auto"/>
              <w:rPr>
                <w:rFonts w:ascii="Calibri" w:eastAsia="Calibri" w:hAnsi="Calibri"/>
                <w:b/>
                <w:szCs w:val="24"/>
              </w:rPr>
            </w:pPr>
            <w:r w:rsidRPr="00A834C9">
              <w:rPr>
                <w:rFonts w:ascii="Calibri" w:eastAsia="Calibri" w:hAnsi="Calibri"/>
                <w:b/>
                <w:szCs w:val="24"/>
              </w:rPr>
              <w:t xml:space="preserve">NoCheck Personal </w:t>
            </w:r>
            <w:commentRangeStart w:id="6"/>
            <w:r w:rsidRPr="00A834C9">
              <w:rPr>
                <w:rFonts w:ascii="Calibri" w:eastAsia="Calibri" w:hAnsi="Calibri"/>
                <w:b/>
                <w:szCs w:val="24"/>
              </w:rPr>
              <w:t>Identity Verification Claimant Portal Enhancement for DWD</w:t>
            </w:r>
            <w:commentRangeEnd w:id="6"/>
            <w:r w:rsidR="00362A81">
              <w:rPr>
                <w:rStyle w:val="CommentReference"/>
              </w:rPr>
              <w:commentReference w:id="6"/>
            </w:r>
          </w:p>
          <w:p w14:paraId="100A4DCA" w14:textId="4FA41966" w:rsidR="00A834C9" w:rsidRPr="00A834C9" w:rsidRDefault="00A834C9" w:rsidP="00A834C9">
            <w:pPr>
              <w:widowControl/>
              <w:spacing w:after="160" w:line="259" w:lineRule="auto"/>
              <w:rPr>
                <w:rFonts w:ascii="Calibri" w:eastAsia="Calibri" w:hAnsi="Calibri"/>
              </w:rPr>
            </w:pPr>
            <w:r w:rsidRPr="51F8FAAB">
              <w:rPr>
                <w:rFonts w:ascii="Calibri" w:eastAsia="Calibri" w:hAnsi="Calibri"/>
              </w:rPr>
              <w:t>NoCheck will work with DWD to develop and implement a personal identity verification process in accordance with your specifications. Once a claimant comes into the DWD portal to apply for unemployment benefits and has been autho</w:t>
            </w:r>
            <w:bookmarkStart w:id="7" w:name="_GoBack"/>
            <w:bookmarkEnd w:id="7"/>
            <w:r w:rsidRPr="51F8FAAB">
              <w:rPr>
                <w:rFonts w:ascii="Calibri" w:eastAsia="Calibri" w:hAnsi="Calibri"/>
              </w:rPr>
              <w:t xml:space="preserve">rized, they will be secure session transferred into the Claimant Portal hosted by NoCheck. At that time, they will choose their method of payment and will go through both an account validation and personal identity verification process if they choose ACH or will go through a personal identity verification process before the debit card is authorized. NoCheck’s customer verification procedures ensure a security industry leading payment portal. </w:t>
            </w:r>
          </w:p>
          <w:p w14:paraId="7656F3A7" w14:textId="7F6DD53E" w:rsidR="00A834C9" w:rsidRPr="00A834C9" w:rsidRDefault="00A834C9" w:rsidP="00A834C9">
            <w:pPr>
              <w:widowControl/>
              <w:spacing w:after="160" w:line="259" w:lineRule="auto"/>
              <w:rPr>
                <w:rFonts w:ascii="Calibri" w:eastAsia="Calibri" w:hAnsi="Calibri"/>
                <w:b/>
                <w:szCs w:val="24"/>
              </w:rPr>
            </w:pPr>
            <w:r w:rsidRPr="00A834C9">
              <w:rPr>
                <w:rFonts w:ascii="Calibri" w:eastAsia="Calibri" w:hAnsi="Calibri"/>
                <w:b/>
                <w:szCs w:val="24"/>
              </w:rPr>
              <w:t>U.S. Bank Prepaid Card Fraud Assistance</w:t>
            </w:r>
          </w:p>
          <w:p w14:paraId="475BAF10" w14:textId="656F338C" w:rsidR="00F26142" w:rsidRPr="00FA389F" w:rsidRDefault="00F26142" w:rsidP="00FA389F">
            <w:p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U.S. Bank has a robust fraud prevention program that includes continuous monitoring and investigating of card activity in order to control the inherent risk fraud produces. U.S. Bank will actively assist in efforts to investigate and reduce fraud. To help defend against fraud and reduce risk for cardholders, U.S. Bank has implemented the following fraud prevention processes:</w:t>
            </w:r>
          </w:p>
          <w:p w14:paraId="2357C312" w14:textId="7619655C" w:rsidR="00F26142" w:rsidRPr="00FA389F" w:rsidRDefault="00F26142" w:rsidP="00FA389F">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Cross-channel monitoring and controls to mitigate cyber-attacks and account take-over attempts.</w:t>
            </w:r>
          </w:p>
          <w:p w14:paraId="78E33D3D" w14:textId="47528304" w:rsidR="00F26142" w:rsidRPr="00FA389F" w:rsidRDefault="00F26142" w:rsidP="00FA389F">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Expanded account notifications to include interactive text verification. These include auto-dialer and text messages that will allow the cardholder to immediately respond to suspicious blocked transactions and confirm whether the activity is legitimate or fraud. If confirmed legitimate, the cardholder will receive an immediate exemption.</w:t>
            </w:r>
          </w:p>
          <w:p w14:paraId="40B133BD" w14:textId="43790F63" w:rsidR="00F26142" w:rsidRPr="00FA389F" w:rsidRDefault="00F26142" w:rsidP="00FA389F">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Implemented a selfie ID verification submission process to process fraud holds more efficiently.</w:t>
            </w:r>
          </w:p>
          <w:p w14:paraId="691AA6C2" w14:textId="16502820" w:rsidR="00F26142" w:rsidRPr="00FA389F" w:rsidRDefault="00F26142" w:rsidP="00FA389F">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 xml:space="preserve">Implemented voice printing technology that provides additional protection against account take-over-phone attempts. The tool listens to and assigns a risk score to each call by analyzing approximately 150 factors. Factors include identifying the true location of the caller (i.e. flagging spoofed calls where the caller is utilizing a tool to mask the true caller ID), the device type (e.g. land line, mobile phone, Voice </w:t>
            </w:r>
            <w:proofErr w:type="gramStart"/>
            <w:r w:rsidRPr="00FA389F">
              <w:rPr>
                <w:rFonts w:asciiTheme="minorHAnsi" w:eastAsiaTheme="majorEastAsia" w:hAnsiTheme="minorHAnsi" w:cstheme="minorHAnsi"/>
                <w:szCs w:val="24"/>
              </w:rPr>
              <w:t>Over</w:t>
            </w:r>
            <w:proofErr w:type="gramEnd"/>
            <w:r w:rsidRPr="00FA389F">
              <w:rPr>
                <w:rFonts w:asciiTheme="minorHAnsi" w:eastAsiaTheme="majorEastAsia" w:hAnsiTheme="minorHAnsi" w:cstheme="minorHAnsi"/>
                <w:szCs w:val="24"/>
              </w:rPr>
              <w:t xml:space="preserve"> Internet Protocol), the voice print and the reputation of the phone number. High risk calls are identified by the risk score assigned and can then be evaluated for further action.</w:t>
            </w:r>
          </w:p>
          <w:p w14:paraId="3E7C5D28" w14:textId="1C202154" w:rsidR="00F26142" w:rsidRPr="00FA389F" w:rsidRDefault="00F26142" w:rsidP="00FA389F">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 xml:space="preserve">Developed a database and rules to identify common PII (personally identifiable information) attributes across all of </w:t>
            </w:r>
            <w:proofErr w:type="spellStart"/>
            <w:r w:rsidRPr="00FA389F">
              <w:rPr>
                <w:rFonts w:asciiTheme="minorHAnsi" w:eastAsiaTheme="majorEastAsia" w:hAnsiTheme="minorHAnsi" w:cstheme="minorHAnsi"/>
                <w:szCs w:val="24"/>
              </w:rPr>
              <w:t>Prepaid’s</w:t>
            </w:r>
            <w:proofErr w:type="spellEnd"/>
            <w:r w:rsidRPr="00FA389F">
              <w:rPr>
                <w:rFonts w:asciiTheme="minorHAnsi" w:eastAsiaTheme="majorEastAsia" w:hAnsiTheme="minorHAnsi" w:cstheme="minorHAnsi"/>
                <w:szCs w:val="24"/>
              </w:rPr>
              <w:t xml:space="preserve"> unemployment programs. When suspicious attributes are identified, accounts are frozen until additional identity verification can be completed.</w:t>
            </w:r>
          </w:p>
          <w:p w14:paraId="01C17AA2" w14:textId="17AB54DB" w:rsidR="00F26142" w:rsidRPr="00FA389F" w:rsidRDefault="00F26142" w:rsidP="003A69EE">
            <w:pPr>
              <w:spacing w:line="271" w:lineRule="auto"/>
              <w:rPr>
                <w:rFonts w:asciiTheme="minorHAnsi" w:eastAsia="Calibri" w:hAnsiTheme="minorHAnsi" w:cstheme="minorHAnsi"/>
                <w:b/>
                <w:szCs w:val="24"/>
              </w:rPr>
            </w:pPr>
            <w:r w:rsidRPr="00FA389F">
              <w:rPr>
                <w:rFonts w:asciiTheme="minorHAnsi" w:eastAsiaTheme="majorEastAsia" w:hAnsiTheme="minorHAnsi" w:cstheme="minorHAnsi"/>
                <w:szCs w:val="24"/>
              </w:rPr>
              <w:t>In addition, to assist in creating a stronger cardholder experience during the card issuance process, we strongly encourage that the State capitalize on several best practices such as:</w:t>
            </w:r>
          </w:p>
          <w:p w14:paraId="768A5577" w14:textId="22E31806" w:rsidR="00F26142" w:rsidRPr="00FA389F" w:rsidRDefault="00F26142" w:rsidP="003A69EE">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Passing email address and phone number to U.S. Bank in the enrollment file so U.S. Bank can communicate with the cardholder rapidly if fraud is suspected and U.S. Bank can provide advance notice that the card is on its way.</w:t>
            </w:r>
          </w:p>
          <w:p w14:paraId="33FDB46A" w14:textId="7D1D5613" w:rsidR="00F26142" w:rsidRPr="00FA389F" w:rsidRDefault="00F26142" w:rsidP="003A69EE">
            <w:pPr>
              <w:pStyle w:val="ListParagraph"/>
              <w:numPr>
                <w:ilvl w:val="0"/>
                <w:numId w:val="11"/>
              </w:num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 xml:space="preserve">Sending U.S. Bank enrollment files after being fully vetted by the State and close to the first or initial funding date. Linking the timing of these two events greatly reduces cardholder confusion/frustration and reduces unnecessary calls since many cardholders expect the card to be fully funded upon receipt. </w:t>
            </w:r>
          </w:p>
          <w:p w14:paraId="26FF0C91" w14:textId="77777777" w:rsidR="00F26142" w:rsidRPr="00FA389F" w:rsidRDefault="00F26142" w:rsidP="00F26142">
            <w:pPr>
              <w:widowControl/>
              <w:spacing w:after="160" w:line="259" w:lineRule="auto"/>
              <w:rPr>
                <w:rFonts w:asciiTheme="minorHAnsi" w:eastAsia="Calibri" w:hAnsiTheme="minorHAnsi" w:cstheme="minorHAnsi"/>
                <w:b/>
                <w:szCs w:val="24"/>
              </w:rPr>
            </w:pPr>
          </w:p>
          <w:p w14:paraId="3E09D637" w14:textId="697C0412" w:rsidR="00F26142" w:rsidRPr="00FA389F" w:rsidRDefault="00F26142" w:rsidP="003A69EE">
            <w:pPr>
              <w:spacing w:line="271" w:lineRule="auto"/>
              <w:rPr>
                <w:rFonts w:asciiTheme="minorHAnsi" w:eastAsiaTheme="majorEastAsia" w:hAnsiTheme="minorHAnsi" w:cstheme="minorHAnsi"/>
                <w:szCs w:val="24"/>
              </w:rPr>
            </w:pPr>
            <w:r w:rsidRPr="00FA389F">
              <w:rPr>
                <w:rFonts w:asciiTheme="minorHAnsi" w:eastAsiaTheme="majorEastAsia" w:hAnsiTheme="minorHAnsi" w:cstheme="minorHAnsi"/>
                <w:szCs w:val="24"/>
              </w:rPr>
              <w:t xml:space="preserve">When increased levels of fraud are detected on a program, U.S. Bank shall initiate in-depth discussions with </w:t>
            </w:r>
            <w:r w:rsidR="006539DF" w:rsidRPr="00FA389F">
              <w:rPr>
                <w:rFonts w:asciiTheme="minorHAnsi" w:eastAsiaTheme="majorEastAsia" w:hAnsiTheme="minorHAnsi" w:cstheme="minorHAnsi"/>
                <w:szCs w:val="24"/>
              </w:rPr>
              <w:t>DWD</w:t>
            </w:r>
            <w:r w:rsidRPr="00FA389F">
              <w:rPr>
                <w:rFonts w:asciiTheme="minorHAnsi" w:eastAsiaTheme="majorEastAsia" w:hAnsiTheme="minorHAnsi" w:cstheme="minorHAnsi"/>
                <w:szCs w:val="24"/>
              </w:rPr>
              <w:t xml:space="preserve"> to help build upon its internal identity verification and fraud prevention measures.</w:t>
            </w:r>
          </w:p>
          <w:p w14:paraId="4B15BCAF" w14:textId="77777777" w:rsidR="006E2A4B" w:rsidRPr="00A834C9" w:rsidRDefault="006E2A4B" w:rsidP="00A834C9">
            <w:pPr>
              <w:widowControl/>
              <w:spacing w:after="160" w:line="259" w:lineRule="auto"/>
              <w:rPr>
                <w:rFonts w:ascii="Calibri" w:eastAsia="Calibri" w:hAnsi="Calibri"/>
                <w:b/>
                <w:szCs w:val="24"/>
              </w:rPr>
            </w:pPr>
          </w:p>
          <w:p w14:paraId="0ECDB86D" w14:textId="77777777" w:rsidR="00A834C9" w:rsidRPr="00A834C9" w:rsidRDefault="00A834C9" w:rsidP="00A834C9">
            <w:pPr>
              <w:widowControl/>
              <w:spacing w:after="160" w:line="259" w:lineRule="auto"/>
              <w:rPr>
                <w:rFonts w:ascii="Calibri" w:eastAsia="Calibri" w:hAnsi="Calibri"/>
                <w:sz w:val="22"/>
                <w:szCs w:val="22"/>
              </w:rPr>
            </w:pPr>
          </w:p>
          <w:p w14:paraId="397E9EC7" w14:textId="18935229" w:rsidR="00B05F73" w:rsidRDefault="00B05F73" w:rsidP="00B05F73">
            <w:pPr>
              <w:spacing w:line="271" w:lineRule="auto"/>
              <w:rPr>
                <w:rFonts w:asciiTheme="majorHAnsi" w:eastAsiaTheme="majorEastAsia" w:hAnsiTheme="majorHAnsi" w:cstheme="majorBidi"/>
                <w:sz w:val="22"/>
                <w:szCs w:val="22"/>
              </w:rPr>
            </w:pPr>
          </w:p>
        </w:tc>
      </w:tr>
    </w:tbl>
    <w:p w14:paraId="19DA9D25"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1F534942" w14:textId="04B0FA53" w:rsidR="00AD5F1C" w:rsidRPr="00780F9E" w:rsidRDefault="669C31BF"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 xml:space="preserve">What costs does the </w:t>
      </w:r>
      <w:r w:rsidR="00AD5F1C" w:rsidRPr="00780F9E">
        <w:rPr>
          <w:rFonts w:asciiTheme="minorHAnsi" w:hAnsiTheme="minorHAnsi" w:cstheme="minorHAnsi"/>
          <w:color w:val="000000" w:themeColor="text1"/>
          <w:szCs w:val="24"/>
        </w:rPr>
        <w:t>Vendor</w:t>
      </w:r>
      <w:r w:rsidRPr="00780F9E">
        <w:rPr>
          <w:rFonts w:asciiTheme="minorHAnsi" w:hAnsiTheme="minorHAnsi" w:cstheme="minorHAnsi"/>
          <w:color w:val="000000" w:themeColor="text1"/>
          <w:szCs w:val="24"/>
        </w:rPr>
        <w:t xml:space="preserve"> anticipate will be associated to the management of this program?</w:t>
      </w:r>
    </w:p>
    <w:p w14:paraId="147FF388" w14:textId="1644D0A5"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7B51F5EB" w14:textId="77777777" w:rsidTr="00B05F73">
        <w:tc>
          <w:tcPr>
            <w:tcW w:w="9350" w:type="dxa"/>
            <w:shd w:val="clear" w:color="auto" w:fill="92D050"/>
          </w:tcPr>
          <w:p w14:paraId="0567D48E" w14:textId="2E46954F" w:rsidR="00B05F73" w:rsidRPr="000E0989" w:rsidRDefault="00703957">
            <w:pPr>
              <w:spacing w:line="271" w:lineRule="auto"/>
              <w:rPr>
                <w:rFonts w:asciiTheme="majorHAnsi" w:eastAsiaTheme="majorEastAsia" w:hAnsiTheme="majorHAnsi" w:cstheme="majorBidi"/>
                <w:szCs w:val="24"/>
              </w:rPr>
            </w:pPr>
            <w:r>
              <w:rPr>
                <w:rFonts w:asciiTheme="majorHAnsi" w:eastAsiaTheme="majorEastAsia" w:hAnsiTheme="majorHAnsi" w:cstheme="majorBidi"/>
                <w:szCs w:val="24"/>
              </w:rPr>
              <w:t xml:space="preserve">Program is currently </w:t>
            </w:r>
            <w:r w:rsidR="00874D21">
              <w:rPr>
                <w:rFonts w:asciiTheme="majorHAnsi" w:eastAsiaTheme="majorEastAsia" w:hAnsiTheme="majorHAnsi" w:cstheme="majorBidi"/>
                <w:szCs w:val="24"/>
              </w:rPr>
              <w:t>running and there is no management fee charged. If state wants additional custom programing done there is a fee of $145.00 per hour</w:t>
            </w:r>
            <w:r w:rsidR="00646744">
              <w:rPr>
                <w:rFonts w:asciiTheme="majorHAnsi" w:eastAsiaTheme="majorEastAsia" w:hAnsiTheme="majorHAnsi" w:cstheme="majorBidi"/>
                <w:szCs w:val="24"/>
              </w:rPr>
              <w:t xml:space="preserve">. </w:t>
            </w:r>
            <w:r w:rsidR="00703D8F" w:rsidRPr="000E0989">
              <w:rPr>
                <w:rFonts w:asciiTheme="majorHAnsi" w:eastAsiaTheme="majorEastAsia" w:hAnsiTheme="majorHAnsi" w:cstheme="majorBidi"/>
                <w:szCs w:val="24"/>
              </w:rPr>
              <w:t>Activity fees charged as indicated in Attachment D: Cost Proposal (Excel Workbook).</w:t>
            </w:r>
          </w:p>
        </w:tc>
      </w:tr>
    </w:tbl>
    <w:p w14:paraId="690518C4"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70EFF7BC" w14:textId="57838FB6" w:rsidR="00AD5F1C" w:rsidRPr="00780F9E" w:rsidRDefault="669C31BF"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 xml:space="preserve">How does the </w:t>
      </w:r>
      <w:r w:rsidR="00AD5F1C" w:rsidRPr="00780F9E">
        <w:rPr>
          <w:rFonts w:asciiTheme="minorHAnsi" w:hAnsiTheme="minorHAnsi" w:cstheme="minorHAnsi"/>
          <w:color w:val="000000" w:themeColor="text1"/>
          <w:szCs w:val="24"/>
        </w:rPr>
        <w:t>Vendor</w:t>
      </w:r>
      <w:r w:rsidRPr="00780F9E">
        <w:rPr>
          <w:rFonts w:asciiTheme="minorHAnsi" w:hAnsiTheme="minorHAnsi" w:cstheme="minorHAnsi"/>
          <w:color w:val="000000" w:themeColor="text1"/>
          <w:szCs w:val="24"/>
        </w:rPr>
        <w:t xml:space="preserve"> envision the fraud prevention relationship with DWD</w:t>
      </w:r>
      <w:r w:rsidR="18E5B1E2" w:rsidRPr="00780F9E">
        <w:rPr>
          <w:rFonts w:asciiTheme="minorHAnsi" w:hAnsiTheme="minorHAnsi" w:cstheme="minorHAnsi"/>
          <w:color w:val="000000" w:themeColor="text1"/>
          <w:szCs w:val="24"/>
        </w:rPr>
        <w:t xml:space="preserve">? </w:t>
      </w:r>
      <w:r w:rsidRPr="00780F9E">
        <w:rPr>
          <w:rFonts w:asciiTheme="minorHAnsi" w:hAnsiTheme="minorHAnsi" w:cstheme="minorHAnsi"/>
          <w:color w:val="000000" w:themeColor="text1"/>
          <w:szCs w:val="24"/>
        </w:rPr>
        <w:t xml:space="preserve"> </w:t>
      </w:r>
    </w:p>
    <w:p w14:paraId="6D2D2576" w14:textId="54DC7FE5"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41411AE0" w14:textId="77777777" w:rsidTr="00B05F73">
        <w:tc>
          <w:tcPr>
            <w:tcW w:w="9350" w:type="dxa"/>
            <w:shd w:val="clear" w:color="auto" w:fill="92D050"/>
          </w:tcPr>
          <w:p w14:paraId="17152E4C" w14:textId="5B9FE2C4" w:rsidR="00DE6B6A" w:rsidRPr="00A834C9" w:rsidRDefault="00F02C74" w:rsidP="00DE6B6A">
            <w:pPr>
              <w:widowControl/>
              <w:spacing w:after="160" w:line="259" w:lineRule="auto"/>
              <w:rPr>
                <w:rFonts w:ascii="Calibri" w:eastAsia="Calibri" w:hAnsi="Calibri"/>
                <w:szCs w:val="24"/>
              </w:rPr>
            </w:pPr>
            <w:r>
              <w:rPr>
                <w:rFonts w:ascii="Calibri" w:eastAsia="Calibri" w:hAnsi="Calibri"/>
                <w:szCs w:val="24"/>
              </w:rPr>
              <w:t xml:space="preserve">We recommend that DWD continue to </w:t>
            </w:r>
            <w:r w:rsidR="00FC6B2D">
              <w:rPr>
                <w:rFonts w:ascii="Calibri" w:eastAsia="Calibri" w:hAnsi="Calibri"/>
                <w:szCs w:val="24"/>
              </w:rPr>
              <w:t>conduct</w:t>
            </w:r>
            <w:r w:rsidR="005E05EC">
              <w:rPr>
                <w:rFonts w:ascii="Calibri" w:eastAsia="Calibri" w:hAnsi="Calibri"/>
                <w:szCs w:val="24"/>
              </w:rPr>
              <w:t xml:space="preserve"> in-depth</w:t>
            </w:r>
            <w:r w:rsidR="00FC6B2D">
              <w:rPr>
                <w:rFonts w:ascii="Calibri" w:eastAsia="Calibri" w:hAnsi="Calibri"/>
                <w:szCs w:val="24"/>
              </w:rPr>
              <w:t xml:space="preserve"> </w:t>
            </w:r>
            <w:r w:rsidR="009A68EF" w:rsidRPr="00A834C9">
              <w:rPr>
                <w:rFonts w:ascii="Calibri" w:eastAsia="Calibri" w:hAnsi="Calibri"/>
                <w:szCs w:val="24"/>
              </w:rPr>
              <w:t>personal identity verification</w:t>
            </w:r>
            <w:r w:rsidR="009A68EF">
              <w:rPr>
                <w:rFonts w:ascii="Calibri" w:eastAsia="Calibri" w:hAnsi="Calibri"/>
                <w:szCs w:val="24"/>
              </w:rPr>
              <w:t xml:space="preserve"> </w:t>
            </w:r>
            <w:r w:rsidR="00196B0F">
              <w:rPr>
                <w:rFonts w:ascii="Calibri" w:eastAsia="Calibri" w:hAnsi="Calibri"/>
                <w:szCs w:val="24"/>
              </w:rPr>
              <w:t xml:space="preserve">at time of enrollment </w:t>
            </w:r>
            <w:r w:rsidR="00C526EF">
              <w:rPr>
                <w:rFonts w:ascii="Calibri" w:eastAsia="Calibri" w:hAnsi="Calibri"/>
                <w:szCs w:val="24"/>
              </w:rPr>
              <w:t xml:space="preserve">in </w:t>
            </w:r>
            <w:r w:rsidR="00196B0F">
              <w:rPr>
                <w:rFonts w:ascii="Calibri" w:eastAsia="Calibri" w:hAnsi="Calibri"/>
                <w:szCs w:val="24"/>
              </w:rPr>
              <w:t xml:space="preserve">UI </w:t>
            </w:r>
            <w:r w:rsidR="00EB68D2">
              <w:rPr>
                <w:rFonts w:ascii="Calibri" w:eastAsia="Calibri" w:hAnsi="Calibri"/>
                <w:szCs w:val="24"/>
              </w:rPr>
              <w:t>benefit</w:t>
            </w:r>
            <w:r w:rsidR="00196B0F">
              <w:rPr>
                <w:rFonts w:ascii="Calibri" w:eastAsia="Calibri" w:hAnsi="Calibri"/>
                <w:szCs w:val="24"/>
              </w:rPr>
              <w:t>s</w:t>
            </w:r>
            <w:r w:rsidR="00DE6B6A" w:rsidRPr="00A834C9">
              <w:rPr>
                <w:rFonts w:ascii="Calibri" w:eastAsia="Calibri" w:hAnsi="Calibri"/>
                <w:szCs w:val="24"/>
              </w:rPr>
              <w:t xml:space="preserve">. </w:t>
            </w:r>
            <w:r w:rsidR="00173CF1" w:rsidRPr="00A834C9">
              <w:rPr>
                <w:rFonts w:ascii="Calibri" w:eastAsia="Calibri" w:hAnsi="Calibri"/>
                <w:szCs w:val="24"/>
              </w:rPr>
              <w:t xml:space="preserve">To help </w:t>
            </w:r>
            <w:r w:rsidR="00173CF1">
              <w:rPr>
                <w:rFonts w:ascii="Calibri" w:eastAsia="Calibri" w:hAnsi="Calibri"/>
                <w:szCs w:val="24"/>
              </w:rPr>
              <w:t xml:space="preserve">further </w:t>
            </w:r>
            <w:r w:rsidR="00173CF1" w:rsidRPr="00A834C9">
              <w:rPr>
                <w:rFonts w:ascii="Calibri" w:eastAsia="Calibri" w:hAnsi="Calibri"/>
                <w:szCs w:val="24"/>
              </w:rPr>
              <w:t xml:space="preserve">minimize </w:t>
            </w:r>
            <w:r w:rsidR="00173CF1">
              <w:rPr>
                <w:rFonts w:ascii="Calibri" w:eastAsia="Calibri" w:hAnsi="Calibri"/>
                <w:szCs w:val="24"/>
              </w:rPr>
              <w:t xml:space="preserve">any </w:t>
            </w:r>
            <w:r w:rsidR="00173CF1" w:rsidRPr="00A834C9">
              <w:rPr>
                <w:rFonts w:ascii="Calibri" w:eastAsia="Calibri" w:hAnsi="Calibri"/>
                <w:szCs w:val="24"/>
              </w:rPr>
              <w:t>fraud</w:t>
            </w:r>
            <w:r w:rsidR="00173CF1">
              <w:rPr>
                <w:rFonts w:ascii="Calibri" w:eastAsia="Calibri" w:hAnsi="Calibri"/>
                <w:szCs w:val="24"/>
              </w:rPr>
              <w:t>,</w:t>
            </w:r>
            <w:r w:rsidR="00173CF1" w:rsidRPr="00A834C9">
              <w:rPr>
                <w:rFonts w:ascii="Calibri" w:eastAsia="Calibri" w:hAnsi="Calibri"/>
                <w:szCs w:val="24"/>
              </w:rPr>
              <w:t xml:space="preserve"> </w:t>
            </w:r>
            <w:r w:rsidR="00173CF1">
              <w:rPr>
                <w:rFonts w:ascii="Calibri" w:eastAsia="Calibri" w:hAnsi="Calibri"/>
                <w:szCs w:val="24"/>
              </w:rPr>
              <w:t>w</w:t>
            </w:r>
            <w:r w:rsidR="00541830">
              <w:rPr>
                <w:rFonts w:ascii="Calibri" w:eastAsia="Calibri" w:hAnsi="Calibri"/>
                <w:szCs w:val="24"/>
              </w:rPr>
              <w:t>e expand upon that ID verification process with the</w:t>
            </w:r>
            <w:r w:rsidR="0036047B">
              <w:rPr>
                <w:rFonts w:ascii="Calibri" w:eastAsia="Calibri" w:hAnsi="Calibri"/>
                <w:szCs w:val="24"/>
              </w:rPr>
              <w:t xml:space="preserve"> </w:t>
            </w:r>
            <w:r w:rsidR="00100498">
              <w:rPr>
                <w:rFonts w:ascii="Calibri" w:eastAsia="Calibri" w:hAnsi="Calibri"/>
                <w:szCs w:val="24"/>
              </w:rPr>
              <w:t>account verification</w:t>
            </w:r>
            <w:r w:rsidR="00541830">
              <w:rPr>
                <w:rFonts w:ascii="Calibri" w:eastAsia="Calibri" w:hAnsi="Calibri"/>
                <w:szCs w:val="24"/>
              </w:rPr>
              <w:t xml:space="preserve"> steps </w:t>
            </w:r>
            <w:r w:rsidR="00100498">
              <w:rPr>
                <w:rFonts w:ascii="Calibri" w:eastAsia="Calibri" w:hAnsi="Calibri"/>
                <w:szCs w:val="24"/>
              </w:rPr>
              <w:t xml:space="preserve">that </w:t>
            </w:r>
            <w:r w:rsidR="00541830">
              <w:rPr>
                <w:rFonts w:ascii="Calibri" w:eastAsia="Calibri" w:hAnsi="Calibri"/>
                <w:szCs w:val="24"/>
              </w:rPr>
              <w:t xml:space="preserve">we </w:t>
            </w:r>
            <w:r w:rsidR="00DE1AA2">
              <w:rPr>
                <w:rFonts w:ascii="Calibri" w:eastAsia="Calibri" w:hAnsi="Calibri"/>
                <w:szCs w:val="24"/>
              </w:rPr>
              <w:t xml:space="preserve">institute </w:t>
            </w:r>
            <w:r w:rsidR="00343269">
              <w:rPr>
                <w:rFonts w:ascii="Calibri" w:eastAsia="Calibri" w:hAnsi="Calibri"/>
                <w:szCs w:val="24"/>
              </w:rPr>
              <w:t>when</w:t>
            </w:r>
            <w:r w:rsidR="00DE6B6A" w:rsidRPr="00A834C9">
              <w:rPr>
                <w:rFonts w:ascii="Calibri" w:eastAsia="Calibri" w:hAnsi="Calibri"/>
                <w:szCs w:val="24"/>
              </w:rPr>
              <w:t xml:space="preserve"> initiating the payment choice</w:t>
            </w:r>
            <w:r w:rsidR="00556C5B">
              <w:rPr>
                <w:rFonts w:ascii="Calibri" w:eastAsia="Calibri" w:hAnsi="Calibri"/>
                <w:szCs w:val="24"/>
              </w:rPr>
              <w:t>, which include</w:t>
            </w:r>
            <w:r w:rsidR="00DF70F2">
              <w:rPr>
                <w:rFonts w:ascii="Calibri" w:eastAsia="Calibri" w:hAnsi="Calibri"/>
                <w:szCs w:val="24"/>
              </w:rPr>
              <w:t>s</w:t>
            </w:r>
            <w:r w:rsidR="00556C5B">
              <w:rPr>
                <w:rFonts w:ascii="Calibri" w:eastAsia="Calibri" w:hAnsi="Calibri"/>
                <w:szCs w:val="24"/>
              </w:rPr>
              <w:t xml:space="preserve">: </w:t>
            </w:r>
          </w:p>
          <w:p w14:paraId="14EC0062" w14:textId="64DAC0C1" w:rsidR="00B7663F" w:rsidRPr="00B7663F" w:rsidRDefault="00B7663F" w:rsidP="00B7663F">
            <w:pPr>
              <w:widowControl/>
              <w:spacing w:after="160" w:line="259" w:lineRule="auto"/>
              <w:rPr>
                <w:rFonts w:ascii="Calibri" w:eastAsia="Calibri" w:hAnsi="Calibri"/>
                <w:szCs w:val="24"/>
              </w:rPr>
            </w:pPr>
            <w:r w:rsidRPr="00B7663F">
              <w:rPr>
                <w:rFonts w:ascii="Calibri" w:eastAsia="Calibri" w:hAnsi="Calibri"/>
                <w:szCs w:val="24"/>
              </w:rPr>
              <w:t>1.</w:t>
            </w:r>
            <w:r w:rsidRPr="00B7663F">
              <w:rPr>
                <w:rFonts w:ascii="Calibri" w:eastAsia="Calibri" w:hAnsi="Calibri"/>
                <w:szCs w:val="24"/>
              </w:rPr>
              <w:tab/>
              <w:t xml:space="preserve">The validated claimant demographic information is received directly from the DWD. When the claimant selects direct deposit as their preferred payment, NoCheck verifies that the bank account belongs to the </w:t>
            </w:r>
            <w:r w:rsidR="005D7056">
              <w:rPr>
                <w:rFonts w:ascii="Calibri" w:eastAsia="Calibri" w:hAnsi="Calibri"/>
                <w:szCs w:val="24"/>
              </w:rPr>
              <w:t>claimant</w:t>
            </w:r>
            <w:r w:rsidR="00646744">
              <w:rPr>
                <w:rFonts w:ascii="Calibri" w:eastAsia="Calibri" w:hAnsi="Calibri"/>
                <w:szCs w:val="24"/>
              </w:rPr>
              <w:t xml:space="preserve"> verifies email a phone number</w:t>
            </w:r>
            <w:r w:rsidR="00480E7A">
              <w:rPr>
                <w:rFonts w:ascii="Calibri" w:eastAsia="Calibri" w:hAnsi="Calibri"/>
                <w:szCs w:val="24"/>
              </w:rPr>
              <w:t xml:space="preserve"> and IP address</w:t>
            </w:r>
            <w:r w:rsidRPr="00B7663F">
              <w:rPr>
                <w:rFonts w:ascii="Calibri" w:eastAsia="Calibri" w:hAnsi="Calibri"/>
                <w:szCs w:val="24"/>
              </w:rPr>
              <w:t xml:space="preserve">, the account is open and in good standing. Future functionalities may include </w:t>
            </w:r>
            <w:r w:rsidR="00480E7A">
              <w:rPr>
                <w:rFonts w:ascii="Calibri" w:eastAsia="Calibri" w:hAnsi="Calibri"/>
                <w:szCs w:val="24"/>
              </w:rPr>
              <w:t xml:space="preserve">taking copy of </w:t>
            </w:r>
            <w:r w:rsidRPr="00B7663F">
              <w:rPr>
                <w:rFonts w:ascii="Calibri" w:eastAsia="Calibri" w:hAnsi="Calibri"/>
                <w:szCs w:val="24"/>
              </w:rPr>
              <w:t>driver’s license/ID verification and biometric verification.</w:t>
            </w:r>
          </w:p>
          <w:p w14:paraId="3CD7682C" w14:textId="77777777" w:rsidR="00B7663F" w:rsidRPr="00B7663F" w:rsidRDefault="00B7663F" w:rsidP="00B7663F">
            <w:pPr>
              <w:widowControl/>
              <w:spacing w:after="160" w:line="259" w:lineRule="auto"/>
              <w:rPr>
                <w:rFonts w:ascii="Calibri" w:eastAsia="Calibri" w:hAnsi="Calibri"/>
                <w:szCs w:val="24"/>
              </w:rPr>
            </w:pPr>
            <w:r w:rsidRPr="00B7663F">
              <w:rPr>
                <w:rFonts w:ascii="Calibri" w:eastAsia="Calibri" w:hAnsi="Calibri"/>
                <w:szCs w:val="24"/>
              </w:rPr>
              <w:t>2.</w:t>
            </w:r>
            <w:r w:rsidRPr="00B7663F">
              <w:rPr>
                <w:rFonts w:ascii="Calibri" w:eastAsia="Calibri" w:hAnsi="Calibri"/>
                <w:szCs w:val="24"/>
              </w:rPr>
              <w:tab/>
              <w:t>Validate that the claimant was only receiving payments authorized by DWD.</w:t>
            </w:r>
          </w:p>
          <w:p w14:paraId="2EC43F25" w14:textId="77777777" w:rsidR="00B7663F" w:rsidRPr="00B7663F" w:rsidRDefault="00B7663F" w:rsidP="00B7663F">
            <w:pPr>
              <w:widowControl/>
              <w:spacing w:after="160" w:line="259" w:lineRule="auto"/>
              <w:rPr>
                <w:rFonts w:ascii="Calibri" w:eastAsia="Calibri" w:hAnsi="Calibri"/>
                <w:szCs w:val="24"/>
              </w:rPr>
            </w:pPr>
            <w:r w:rsidRPr="00B7663F">
              <w:rPr>
                <w:rFonts w:ascii="Calibri" w:eastAsia="Calibri" w:hAnsi="Calibri"/>
                <w:szCs w:val="24"/>
              </w:rPr>
              <w:t>3.</w:t>
            </w:r>
            <w:r w:rsidRPr="00B7663F">
              <w:rPr>
                <w:rFonts w:ascii="Calibri" w:eastAsia="Calibri" w:hAnsi="Calibri"/>
                <w:szCs w:val="24"/>
              </w:rPr>
              <w:tab/>
              <w:t>Monitor depository accounts to watch for suspicious depository activity. Third party debit cards are easy to acquire so we check that a claimant only receives authorized payments per pay period to only one destination account.</w:t>
            </w:r>
          </w:p>
          <w:p w14:paraId="37EE04F6" w14:textId="21CFE492" w:rsidR="00B05F73" w:rsidRDefault="00B05F73" w:rsidP="00B05F73">
            <w:pPr>
              <w:spacing w:line="271" w:lineRule="auto"/>
              <w:rPr>
                <w:rFonts w:asciiTheme="majorHAnsi" w:eastAsiaTheme="majorEastAsia" w:hAnsiTheme="majorHAnsi" w:cstheme="majorBidi"/>
                <w:sz w:val="22"/>
                <w:szCs w:val="22"/>
              </w:rPr>
            </w:pPr>
          </w:p>
        </w:tc>
      </w:tr>
    </w:tbl>
    <w:p w14:paraId="2A2348F0"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5D16F0FF" w14:textId="52998700" w:rsidR="00AD5F1C" w:rsidRPr="00780F9E" w:rsidRDefault="18E5B1E2"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 xml:space="preserve">How does the </w:t>
      </w:r>
      <w:r w:rsidR="00AD5F1C" w:rsidRPr="00780F9E">
        <w:rPr>
          <w:rFonts w:asciiTheme="minorHAnsi" w:hAnsiTheme="minorHAnsi" w:cstheme="minorHAnsi"/>
          <w:color w:val="000000" w:themeColor="text1"/>
          <w:szCs w:val="24"/>
        </w:rPr>
        <w:t>V</w:t>
      </w:r>
      <w:r w:rsidRPr="00780F9E">
        <w:rPr>
          <w:rFonts w:asciiTheme="minorHAnsi" w:hAnsiTheme="minorHAnsi" w:cstheme="minorHAnsi"/>
          <w:color w:val="000000" w:themeColor="text1"/>
          <w:szCs w:val="24"/>
        </w:rPr>
        <w:t xml:space="preserve">endor propose to provide </w:t>
      </w:r>
      <w:r w:rsidR="669C31BF" w:rsidRPr="00780F9E">
        <w:rPr>
          <w:rFonts w:asciiTheme="minorHAnsi" w:hAnsiTheme="minorHAnsi" w:cstheme="minorHAnsi"/>
          <w:color w:val="000000" w:themeColor="text1"/>
          <w:szCs w:val="24"/>
        </w:rPr>
        <w:t>proof of constructive receipt by the claimant?</w:t>
      </w:r>
    </w:p>
    <w:p w14:paraId="66DCE2BD" w14:textId="72C20D10"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6BE3BBB2" w14:textId="77777777" w:rsidTr="00B05F73">
        <w:tc>
          <w:tcPr>
            <w:tcW w:w="9350" w:type="dxa"/>
            <w:shd w:val="clear" w:color="auto" w:fill="92D050"/>
          </w:tcPr>
          <w:p w14:paraId="174C655E" w14:textId="372189C6" w:rsidR="00521B6F" w:rsidRPr="00521B6F" w:rsidRDefault="00521B6F" w:rsidP="00521B6F">
            <w:pPr>
              <w:widowControl/>
              <w:spacing w:after="160" w:line="259" w:lineRule="auto"/>
              <w:rPr>
                <w:rFonts w:ascii="Calibri" w:eastAsia="Calibri" w:hAnsi="Calibri"/>
                <w:szCs w:val="24"/>
              </w:rPr>
            </w:pPr>
            <w:r w:rsidRPr="00521B6F">
              <w:rPr>
                <w:rFonts w:ascii="Calibri" w:eastAsia="Calibri" w:hAnsi="Calibri"/>
                <w:szCs w:val="24"/>
              </w:rPr>
              <w:t xml:space="preserve">NoCheck receives validated demographic information from the DWD, including claimant name, address, </w:t>
            </w:r>
            <w:proofErr w:type="gramStart"/>
            <w:r w:rsidRPr="00521B6F">
              <w:rPr>
                <w:rFonts w:ascii="Calibri" w:eastAsia="Calibri" w:hAnsi="Calibri"/>
                <w:szCs w:val="24"/>
              </w:rPr>
              <w:t>date</w:t>
            </w:r>
            <w:proofErr w:type="gramEnd"/>
            <w:r w:rsidRPr="000E0989">
              <w:rPr>
                <w:rFonts w:ascii="Calibri" w:eastAsia="Calibri" w:hAnsi="Calibri"/>
                <w:szCs w:val="24"/>
              </w:rPr>
              <w:t xml:space="preserve"> of birth, phone number and</w:t>
            </w:r>
            <w:r w:rsidRPr="00521B6F">
              <w:rPr>
                <w:rFonts w:ascii="Calibri" w:eastAsia="Calibri" w:hAnsi="Calibri"/>
                <w:szCs w:val="24"/>
              </w:rPr>
              <w:t xml:space="preserve"> Social Security number. At this point, the claimant is transferred seamlessly to the NoCheck portal in order to select their preferred payment method. If direct deposit, the claimant enters routing and account number bank information. NoCheck validates that the bank account belongs to the </w:t>
            </w:r>
            <w:r w:rsidR="001D7106">
              <w:rPr>
                <w:rFonts w:ascii="Calibri" w:eastAsia="Calibri" w:hAnsi="Calibri"/>
                <w:szCs w:val="24"/>
              </w:rPr>
              <w:t>claimant</w:t>
            </w:r>
            <w:r w:rsidRPr="00521B6F">
              <w:rPr>
                <w:rFonts w:ascii="Calibri" w:eastAsia="Calibri" w:hAnsi="Calibri"/>
                <w:szCs w:val="24"/>
              </w:rPr>
              <w:t xml:space="preserve"> and is open and in good standing</w:t>
            </w:r>
            <w:r w:rsidR="004A3403">
              <w:rPr>
                <w:rFonts w:ascii="Calibri" w:eastAsia="Calibri" w:hAnsi="Calibri"/>
                <w:szCs w:val="24"/>
              </w:rPr>
              <w:t xml:space="preserve"> and </w:t>
            </w:r>
            <w:r w:rsidR="004A3403" w:rsidRPr="004A3403">
              <w:rPr>
                <w:rFonts w:ascii="Calibri" w:eastAsia="Calibri" w:hAnsi="Calibri"/>
                <w:szCs w:val="24"/>
              </w:rPr>
              <w:t>verifies email a phone number and IP address</w:t>
            </w:r>
            <w:r w:rsidRPr="00521B6F">
              <w:rPr>
                <w:rFonts w:ascii="Calibri" w:eastAsia="Calibri" w:hAnsi="Calibri"/>
                <w:szCs w:val="24"/>
              </w:rPr>
              <w:t xml:space="preserve">. Future functionalities may include driver’s license/ID verification and biometric </w:t>
            </w:r>
            <w:commentRangeStart w:id="8"/>
            <w:r w:rsidRPr="00521B6F">
              <w:rPr>
                <w:rFonts w:ascii="Calibri" w:eastAsia="Calibri" w:hAnsi="Calibri"/>
                <w:szCs w:val="24"/>
              </w:rPr>
              <w:t>verification</w:t>
            </w:r>
            <w:commentRangeEnd w:id="8"/>
            <w:r w:rsidR="00BC4BEE">
              <w:rPr>
                <w:rStyle w:val="CommentReference"/>
              </w:rPr>
              <w:commentReference w:id="8"/>
            </w:r>
            <w:r w:rsidRPr="00521B6F">
              <w:rPr>
                <w:rFonts w:ascii="Calibri" w:eastAsia="Calibri" w:hAnsi="Calibri"/>
                <w:szCs w:val="24"/>
              </w:rPr>
              <w:t>.</w:t>
            </w:r>
          </w:p>
          <w:p w14:paraId="176DD727" w14:textId="381FC641" w:rsidR="00B05F73" w:rsidRDefault="00B05F73" w:rsidP="00B05F73">
            <w:pPr>
              <w:spacing w:line="271" w:lineRule="auto"/>
              <w:rPr>
                <w:rFonts w:asciiTheme="majorHAnsi" w:eastAsiaTheme="majorEastAsia" w:hAnsiTheme="majorHAnsi" w:cstheme="majorBidi"/>
                <w:sz w:val="22"/>
                <w:szCs w:val="22"/>
              </w:rPr>
            </w:pPr>
          </w:p>
        </w:tc>
      </w:tr>
    </w:tbl>
    <w:p w14:paraId="197C21F1"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5428445F" w14:textId="66825074" w:rsidR="00AD5F1C" w:rsidDel="00E05C62" w:rsidRDefault="00AD5F1C" w:rsidP="54DB3C2A">
      <w:pPr>
        <w:spacing w:line="271" w:lineRule="auto"/>
        <w:ind w:left="360" w:hanging="360"/>
        <w:rPr>
          <w:rFonts w:asciiTheme="majorHAnsi" w:eastAsiaTheme="majorEastAsia" w:hAnsiTheme="majorHAnsi" w:cstheme="majorBidi"/>
          <w:sz w:val="22"/>
          <w:szCs w:val="22"/>
        </w:rPr>
      </w:pPr>
    </w:p>
    <w:p w14:paraId="27D3D345" w14:textId="31C3EFC2" w:rsidR="00AD5F1C" w:rsidRPr="00780F9E" w:rsidRDefault="669C31BF"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 xml:space="preserve">How will the </w:t>
      </w:r>
      <w:r w:rsidR="00AD5F1C" w:rsidRPr="00780F9E">
        <w:rPr>
          <w:rFonts w:asciiTheme="minorHAnsi" w:hAnsiTheme="minorHAnsi" w:cstheme="minorHAnsi"/>
          <w:color w:val="000000" w:themeColor="text1"/>
          <w:szCs w:val="24"/>
        </w:rPr>
        <w:t>Vendor</w:t>
      </w:r>
      <w:r w:rsidRPr="00780F9E">
        <w:rPr>
          <w:rFonts w:asciiTheme="minorHAnsi" w:hAnsiTheme="minorHAnsi" w:cstheme="minorHAnsi"/>
          <w:color w:val="000000" w:themeColor="text1"/>
          <w:szCs w:val="24"/>
        </w:rPr>
        <w:t xml:space="preserve"> administer funds returned by the claimant’s depository?</w:t>
      </w:r>
    </w:p>
    <w:p w14:paraId="44D1C28A" w14:textId="6D51CDDF"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75618BCF" w14:textId="77777777" w:rsidTr="00B05F73">
        <w:tc>
          <w:tcPr>
            <w:tcW w:w="9350" w:type="dxa"/>
            <w:shd w:val="clear" w:color="auto" w:fill="92D050"/>
          </w:tcPr>
          <w:p w14:paraId="6D2A390D" w14:textId="77777777" w:rsidR="009A3D7D" w:rsidRPr="009A3D7D" w:rsidRDefault="009A3D7D" w:rsidP="009A3D7D">
            <w:pPr>
              <w:widowControl/>
              <w:spacing w:after="160" w:line="259" w:lineRule="auto"/>
              <w:rPr>
                <w:rFonts w:ascii="Calibri" w:eastAsia="Calibri" w:hAnsi="Calibri"/>
                <w:szCs w:val="24"/>
              </w:rPr>
            </w:pPr>
            <w:r w:rsidRPr="009A3D7D">
              <w:rPr>
                <w:rFonts w:ascii="Calibri" w:eastAsia="Calibri" w:hAnsi="Calibri"/>
                <w:szCs w:val="24"/>
              </w:rPr>
              <w:t>1.</w:t>
            </w:r>
            <w:r w:rsidRPr="009A3D7D">
              <w:rPr>
                <w:rFonts w:ascii="Calibri" w:eastAsia="Calibri" w:hAnsi="Calibri"/>
                <w:szCs w:val="24"/>
              </w:rPr>
              <w:tab/>
              <w:t>If a direct deposit is elected, routing and account numbers are validated upon entry. In the case of a return, the claimant will be contacted to verify that the routing and account numbers are correct. Incorrect routing or account numbers amount to 95% of the issues with banking deposits. If the claimant does not update the record within a specified period of time, a debit card will be issued and the returned payment will be applied to the issued card.</w:t>
            </w:r>
          </w:p>
          <w:p w14:paraId="07DBA621" w14:textId="77777777" w:rsidR="009A3D7D" w:rsidRPr="009A3D7D" w:rsidRDefault="009A3D7D" w:rsidP="009A3D7D">
            <w:pPr>
              <w:widowControl/>
              <w:spacing w:after="160" w:line="259" w:lineRule="auto"/>
              <w:rPr>
                <w:rFonts w:ascii="Calibri" w:eastAsia="Calibri" w:hAnsi="Calibri"/>
                <w:szCs w:val="24"/>
              </w:rPr>
            </w:pPr>
            <w:r w:rsidRPr="009A3D7D">
              <w:rPr>
                <w:rFonts w:ascii="Calibri" w:eastAsia="Calibri" w:hAnsi="Calibri"/>
                <w:szCs w:val="24"/>
              </w:rPr>
              <w:t>2.</w:t>
            </w:r>
            <w:r w:rsidRPr="009A3D7D">
              <w:rPr>
                <w:rFonts w:ascii="Calibri" w:eastAsia="Calibri" w:hAnsi="Calibri"/>
                <w:szCs w:val="24"/>
              </w:rPr>
              <w:tab/>
              <w:t>If they are using a debit card initiated by us, we will make sure they have activated the card and, if so, we will perform a test load to make sure that the card is being addressed properly. If that works, we will re-initiate the funding to the card and verify a successful completion of the process.</w:t>
            </w:r>
          </w:p>
          <w:p w14:paraId="108103F4" w14:textId="77777777" w:rsidR="009A3D7D" w:rsidRPr="009A3D7D" w:rsidRDefault="009A3D7D" w:rsidP="009A3D7D">
            <w:pPr>
              <w:widowControl/>
              <w:spacing w:after="160" w:line="259" w:lineRule="auto"/>
              <w:rPr>
                <w:rFonts w:ascii="Calibri" w:eastAsia="Calibri" w:hAnsi="Calibri"/>
                <w:szCs w:val="24"/>
              </w:rPr>
            </w:pPr>
            <w:r w:rsidRPr="009A3D7D">
              <w:rPr>
                <w:rFonts w:ascii="Calibri" w:eastAsia="Calibri" w:hAnsi="Calibri"/>
                <w:szCs w:val="24"/>
              </w:rPr>
              <w:t>3.</w:t>
            </w:r>
            <w:r w:rsidRPr="009A3D7D">
              <w:rPr>
                <w:rFonts w:ascii="Calibri" w:eastAsia="Calibri" w:hAnsi="Calibri"/>
                <w:szCs w:val="24"/>
              </w:rPr>
              <w:tab/>
              <w:t>If a check is returned, the claimant will be contacted to re-verify the address of the claimant. The claimant is responsible for contacting the DWD in order to update their address of record. The DWD is the official holder of record for claimant demographic data.</w:t>
            </w:r>
          </w:p>
          <w:p w14:paraId="5D99EE8D" w14:textId="2BC69D24" w:rsidR="00B05F73" w:rsidRPr="000E0989" w:rsidRDefault="00B05F73" w:rsidP="00B05F73">
            <w:pPr>
              <w:spacing w:line="271" w:lineRule="auto"/>
              <w:rPr>
                <w:rFonts w:asciiTheme="majorHAnsi" w:eastAsiaTheme="majorEastAsia" w:hAnsiTheme="majorHAnsi" w:cstheme="majorBidi"/>
                <w:szCs w:val="24"/>
              </w:rPr>
            </w:pPr>
          </w:p>
        </w:tc>
      </w:tr>
    </w:tbl>
    <w:p w14:paraId="7653C99D"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75641886" w14:textId="5F033A97" w:rsidR="00AD5F1C" w:rsidRPr="00780F9E" w:rsidRDefault="669C31BF" w:rsidP="00780F9E">
      <w:pPr>
        <w:pStyle w:val="ListParagraph"/>
        <w:numPr>
          <w:ilvl w:val="3"/>
          <w:numId w:val="8"/>
        </w:numPr>
        <w:rPr>
          <w:rFonts w:asciiTheme="minorHAnsi" w:hAnsiTheme="minorHAnsi" w:cstheme="minorHAnsi"/>
          <w:color w:val="000000" w:themeColor="text1"/>
          <w:szCs w:val="24"/>
        </w:rPr>
      </w:pPr>
      <w:r w:rsidRPr="00780F9E">
        <w:rPr>
          <w:rFonts w:asciiTheme="minorHAnsi" w:hAnsiTheme="minorHAnsi" w:cstheme="minorHAnsi"/>
          <w:color w:val="000000" w:themeColor="text1"/>
          <w:szCs w:val="24"/>
        </w:rPr>
        <w:t>What additional information or risks should DWD be considering with regard to implementing this program?</w:t>
      </w:r>
    </w:p>
    <w:p w14:paraId="19EBABF1" w14:textId="22A3E45E" w:rsidR="00B05F73" w:rsidRDefault="00B05F73" w:rsidP="00B05F73">
      <w:pPr>
        <w:spacing w:line="271" w:lineRule="auto"/>
        <w:rPr>
          <w:rFonts w:asciiTheme="majorHAnsi" w:eastAsiaTheme="majorEastAsia" w:hAnsiTheme="majorHAnsi" w:cstheme="majorBidi"/>
          <w:sz w:val="22"/>
          <w:szCs w:val="22"/>
        </w:rPr>
      </w:pPr>
    </w:p>
    <w:tbl>
      <w:tblPr>
        <w:tblStyle w:val="TableGrid"/>
        <w:tblW w:w="0" w:type="auto"/>
        <w:tblInd w:w="360" w:type="dxa"/>
        <w:shd w:val="clear" w:color="auto" w:fill="92D050"/>
        <w:tblLook w:val="04A0" w:firstRow="1" w:lastRow="0" w:firstColumn="1" w:lastColumn="0" w:noHBand="0" w:noVBand="1"/>
      </w:tblPr>
      <w:tblGrid>
        <w:gridCol w:w="9216"/>
      </w:tblGrid>
      <w:tr w:rsidR="00B05F73" w14:paraId="42C1BBA9" w14:textId="77777777" w:rsidTr="00B05F73">
        <w:tc>
          <w:tcPr>
            <w:tcW w:w="9350" w:type="dxa"/>
            <w:shd w:val="clear" w:color="auto" w:fill="92D050"/>
          </w:tcPr>
          <w:p w14:paraId="7F5E0697" w14:textId="1ACB73B6" w:rsidR="00521B6F" w:rsidRPr="00521B6F" w:rsidRDefault="00521B6F" w:rsidP="00521B6F">
            <w:pPr>
              <w:widowControl/>
              <w:spacing w:after="160" w:line="259" w:lineRule="auto"/>
              <w:rPr>
                <w:rFonts w:ascii="Calibri" w:eastAsia="Calibri" w:hAnsi="Calibri"/>
                <w:szCs w:val="24"/>
              </w:rPr>
            </w:pPr>
            <w:r w:rsidRPr="00521B6F">
              <w:rPr>
                <w:rFonts w:ascii="Calibri" w:eastAsia="Calibri" w:hAnsi="Calibri"/>
                <w:szCs w:val="24"/>
              </w:rPr>
              <w:t xml:space="preserve">This solution is a win-win by utilizing </w:t>
            </w:r>
            <w:r w:rsidR="00CF2A6E">
              <w:rPr>
                <w:rFonts w:ascii="Calibri" w:eastAsia="Calibri" w:hAnsi="Calibri"/>
                <w:szCs w:val="24"/>
              </w:rPr>
              <w:t>you</w:t>
            </w:r>
            <w:r w:rsidRPr="00521B6F">
              <w:rPr>
                <w:rFonts w:ascii="Calibri" w:eastAsia="Calibri" w:hAnsi="Calibri"/>
                <w:szCs w:val="24"/>
              </w:rPr>
              <w:t>r existing proven portal provider and enhancing the program with a best-in-class prepaid card solution – incorporatin</w:t>
            </w:r>
            <w:r w:rsidR="00BE344F">
              <w:rPr>
                <w:rFonts w:ascii="Calibri" w:eastAsia="Calibri" w:hAnsi="Calibri"/>
                <w:szCs w:val="24"/>
              </w:rPr>
              <w:t>g</w:t>
            </w:r>
            <w:r w:rsidRPr="00521B6F">
              <w:rPr>
                <w:rFonts w:ascii="Calibri" w:eastAsia="Calibri" w:hAnsi="Calibri"/>
                <w:szCs w:val="24"/>
              </w:rPr>
              <w:t xml:space="preserve"> an industry best practice of offering a prepaid card to the unbanked. DWD will have the peace of mind knowing their prepaid card solution is backed by a top</w:t>
            </w:r>
            <w:r w:rsidR="00EC261B">
              <w:rPr>
                <w:rFonts w:ascii="Calibri" w:eastAsia="Calibri" w:hAnsi="Calibri"/>
                <w:szCs w:val="24"/>
              </w:rPr>
              <w:t>-</w:t>
            </w:r>
            <w:r w:rsidRPr="00521B6F">
              <w:rPr>
                <w:rFonts w:ascii="Calibri" w:eastAsia="Calibri" w:hAnsi="Calibri"/>
                <w:szCs w:val="24"/>
              </w:rPr>
              <w:t>rated</w:t>
            </w:r>
            <w:r w:rsidR="00EC261B">
              <w:rPr>
                <w:rFonts w:ascii="Calibri" w:eastAsia="Calibri" w:hAnsi="Calibri"/>
                <w:szCs w:val="24"/>
              </w:rPr>
              <w:t>,</w:t>
            </w:r>
            <w:r w:rsidRPr="00521B6F">
              <w:rPr>
                <w:rFonts w:ascii="Calibri" w:eastAsia="Calibri" w:hAnsi="Calibri"/>
                <w:szCs w:val="24"/>
              </w:rPr>
              <w:t xml:space="preserve"> ethical national bank.</w:t>
            </w:r>
          </w:p>
          <w:p w14:paraId="552FC458" w14:textId="5B7BAA91" w:rsidR="00521B6F" w:rsidRPr="00521B6F" w:rsidRDefault="00521B6F" w:rsidP="00521B6F">
            <w:pPr>
              <w:widowControl/>
              <w:spacing w:after="160" w:line="259" w:lineRule="auto"/>
              <w:rPr>
                <w:rFonts w:ascii="Calibri" w:eastAsia="Calibri" w:hAnsi="Calibri"/>
                <w:szCs w:val="24"/>
              </w:rPr>
            </w:pPr>
            <w:r w:rsidRPr="00521B6F">
              <w:rPr>
                <w:rFonts w:ascii="Calibri" w:eastAsia="Calibri" w:hAnsi="Calibri"/>
                <w:szCs w:val="24"/>
              </w:rPr>
              <w:t>In addition to experience that U.S. Bank offers—having established one of the first government prepaid card benefit program in 2001—NoCheck bring</w:t>
            </w:r>
            <w:r w:rsidR="00EC261B">
              <w:rPr>
                <w:rFonts w:ascii="Calibri" w:eastAsia="Calibri" w:hAnsi="Calibri"/>
                <w:szCs w:val="24"/>
              </w:rPr>
              <w:t>s</w:t>
            </w:r>
            <w:r w:rsidRPr="00521B6F">
              <w:rPr>
                <w:rFonts w:ascii="Calibri" w:eastAsia="Calibri" w:hAnsi="Calibri"/>
                <w:szCs w:val="24"/>
              </w:rPr>
              <w:t xml:space="preserve"> years of experience working with the DWD team and other state unemployment compensation initiatives. </w:t>
            </w:r>
            <w:r w:rsidR="00FC610F">
              <w:rPr>
                <w:rFonts w:ascii="Calibri" w:eastAsia="Calibri" w:hAnsi="Calibri"/>
                <w:szCs w:val="24"/>
              </w:rPr>
              <w:t>We</w:t>
            </w:r>
            <w:r w:rsidRPr="00521B6F">
              <w:rPr>
                <w:rFonts w:ascii="Calibri" w:eastAsia="Calibri" w:hAnsi="Calibri"/>
                <w:szCs w:val="24"/>
              </w:rPr>
              <w:t xml:space="preserve"> have developed and implemented a claimant payment portal and a number of enhancements to significantly reduce fraud in the system. Continuing to use this system allow</w:t>
            </w:r>
            <w:r w:rsidR="009866F4">
              <w:rPr>
                <w:rFonts w:ascii="Calibri" w:eastAsia="Calibri" w:hAnsi="Calibri"/>
                <w:szCs w:val="24"/>
              </w:rPr>
              <w:t>s</w:t>
            </w:r>
            <w:r w:rsidRPr="00521B6F">
              <w:rPr>
                <w:rFonts w:ascii="Calibri" w:eastAsia="Calibri" w:hAnsi="Calibri"/>
                <w:szCs w:val="24"/>
              </w:rPr>
              <w:t xml:space="preserve"> DWD to continue with a hybrid model where all deposits will to be made through a DWD controlled account. DWD can continue to send payment orders through the NoCheck system. </w:t>
            </w:r>
            <w:r w:rsidR="00456429">
              <w:rPr>
                <w:rFonts w:ascii="Calibri" w:eastAsia="Calibri" w:hAnsi="Calibri"/>
                <w:szCs w:val="24"/>
              </w:rPr>
              <w:t>Those n</w:t>
            </w:r>
            <w:r w:rsidRPr="00521B6F">
              <w:rPr>
                <w:rFonts w:ascii="Calibri" w:eastAsia="Calibri" w:hAnsi="Calibri"/>
                <w:szCs w:val="24"/>
              </w:rPr>
              <w:t>ightly orders from DWD are in turn disbursed to the claimants according to their preferred payment selection.</w:t>
            </w:r>
          </w:p>
          <w:p w14:paraId="248C369E" w14:textId="1C2BB313" w:rsidR="00521B6F" w:rsidRPr="00521B6F" w:rsidRDefault="00521B6F" w:rsidP="00521B6F">
            <w:pPr>
              <w:widowControl/>
              <w:spacing w:after="160" w:line="259" w:lineRule="auto"/>
              <w:rPr>
                <w:rFonts w:ascii="Calibri" w:eastAsia="Calibri" w:hAnsi="Calibri"/>
                <w:szCs w:val="24"/>
              </w:rPr>
            </w:pPr>
            <w:r w:rsidRPr="00521B6F">
              <w:rPr>
                <w:rFonts w:ascii="Calibri" w:eastAsia="Calibri" w:hAnsi="Calibri"/>
                <w:szCs w:val="24"/>
              </w:rPr>
              <w:t xml:space="preserve">U.S. Bank’s </w:t>
            </w:r>
            <w:proofErr w:type="gramStart"/>
            <w:r w:rsidRPr="00521B6F">
              <w:rPr>
                <w:rFonts w:ascii="Calibri" w:eastAsia="Calibri" w:hAnsi="Calibri"/>
                <w:szCs w:val="24"/>
              </w:rPr>
              <w:t>abilities beyond prepaid reinforces</w:t>
            </w:r>
            <w:proofErr w:type="gramEnd"/>
            <w:r w:rsidRPr="00521B6F">
              <w:rPr>
                <w:rFonts w:ascii="Calibri" w:eastAsia="Calibri" w:hAnsi="Calibri"/>
                <w:szCs w:val="24"/>
              </w:rPr>
              <w:t xml:space="preserve"> our depth in the global payment industry.  </w:t>
            </w:r>
            <w:r w:rsidR="004B2251">
              <w:rPr>
                <w:rFonts w:ascii="Calibri" w:eastAsia="Calibri" w:hAnsi="Calibri"/>
                <w:szCs w:val="24"/>
              </w:rPr>
              <w:t>They</w:t>
            </w:r>
            <w:r w:rsidR="004B2251" w:rsidRPr="00521B6F">
              <w:rPr>
                <w:rFonts w:ascii="Calibri" w:eastAsia="Calibri" w:hAnsi="Calibri"/>
                <w:szCs w:val="24"/>
              </w:rPr>
              <w:t xml:space="preserve"> </w:t>
            </w:r>
            <w:r w:rsidRPr="00521B6F">
              <w:rPr>
                <w:rFonts w:ascii="Calibri" w:eastAsia="Calibri" w:hAnsi="Calibri"/>
                <w:szCs w:val="24"/>
              </w:rPr>
              <w:t xml:space="preserve">provide a full-service banking experience for our clients, including treasury management solutions and industry insight that our competitors cannot offer. </w:t>
            </w:r>
          </w:p>
          <w:p w14:paraId="7E09384C" w14:textId="044A26FE" w:rsidR="00B05F73" w:rsidRDefault="00B05F73" w:rsidP="00B05F73">
            <w:pPr>
              <w:spacing w:line="271" w:lineRule="auto"/>
              <w:rPr>
                <w:rFonts w:asciiTheme="majorHAnsi" w:eastAsiaTheme="majorEastAsia" w:hAnsiTheme="majorHAnsi" w:cstheme="majorBidi"/>
                <w:sz w:val="22"/>
                <w:szCs w:val="22"/>
              </w:rPr>
            </w:pPr>
          </w:p>
        </w:tc>
      </w:tr>
    </w:tbl>
    <w:p w14:paraId="047CB9E0" w14:textId="77777777" w:rsidR="00B05F73" w:rsidRPr="00B05F73" w:rsidDel="00E05C62" w:rsidRDefault="00B05F73" w:rsidP="00B05F73">
      <w:pPr>
        <w:spacing w:line="271" w:lineRule="auto"/>
        <w:ind w:left="360"/>
        <w:rPr>
          <w:rFonts w:asciiTheme="majorHAnsi" w:eastAsiaTheme="majorEastAsia" w:hAnsiTheme="majorHAnsi" w:cstheme="majorBidi"/>
          <w:sz w:val="22"/>
          <w:szCs w:val="22"/>
        </w:rPr>
      </w:pPr>
    </w:p>
    <w:p w14:paraId="5BB8638F" w14:textId="46FECEC4" w:rsidR="74867A2D" w:rsidRDefault="74867A2D" w:rsidP="3184F79F">
      <w:pPr>
        <w:spacing w:line="271" w:lineRule="auto"/>
        <w:rPr>
          <w:rFonts w:asciiTheme="majorHAnsi" w:eastAsiaTheme="majorEastAsia" w:hAnsiTheme="majorHAnsi" w:cstheme="majorBidi"/>
          <w:szCs w:val="24"/>
        </w:rPr>
      </w:pPr>
    </w:p>
    <w:p w14:paraId="6ACC8BB7" w14:textId="3F6A1D8E" w:rsidR="00AD5F1C" w:rsidRDefault="18262BF9" w:rsidP="54DB3C2A">
      <w:pPr>
        <w:rPr>
          <w:rFonts w:asciiTheme="majorHAnsi" w:eastAsiaTheme="majorEastAsia" w:hAnsiTheme="majorHAnsi" w:cstheme="majorBidi"/>
          <w:b/>
          <w:bCs/>
          <w:color w:val="000000" w:themeColor="text1"/>
          <w:szCs w:val="24"/>
        </w:rPr>
      </w:pPr>
      <w:r w:rsidRPr="54DB3C2A">
        <w:rPr>
          <w:rFonts w:asciiTheme="majorHAnsi" w:eastAsiaTheme="majorEastAsia" w:hAnsiTheme="majorHAnsi" w:cstheme="majorBidi"/>
          <w:b/>
          <w:bCs/>
          <w:color w:val="000000" w:themeColor="text1"/>
          <w:szCs w:val="24"/>
        </w:rPr>
        <w:t>Mandatory Unemployment Insurance Benefit Payment Distribution Vendor Requirements</w:t>
      </w:r>
    </w:p>
    <w:p w14:paraId="144A10F4" w14:textId="587BA82E" w:rsidR="00AD5F1C" w:rsidRDefault="18262BF9" w:rsidP="1DF18069">
      <w:pPr>
        <w:rPr>
          <w:rFonts w:asciiTheme="majorHAnsi" w:eastAsiaTheme="majorEastAsia" w:hAnsiTheme="majorHAnsi" w:cstheme="majorBidi"/>
          <w:color w:val="000000" w:themeColor="text1"/>
          <w:sz w:val="22"/>
          <w:szCs w:val="22"/>
        </w:rPr>
      </w:pPr>
      <w:r w:rsidRPr="1DF18069">
        <w:rPr>
          <w:rFonts w:asciiTheme="majorHAnsi" w:eastAsiaTheme="majorEastAsia" w:hAnsiTheme="majorHAnsi" w:cstheme="majorBidi"/>
          <w:color w:val="000000" w:themeColor="text1"/>
          <w:sz w:val="22"/>
          <w:szCs w:val="22"/>
        </w:rPr>
        <w:t>Please verify, by completing the table below by writing Yes or No, that you will meet all Mandatory Requirements. If the requirement is met by a sub-vendor, please identify this (by requirement) with a written statement below, noting the specific sub-vendor.</w:t>
      </w:r>
    </w:p>
    <w:p w14:paraId="78275DB1" w14:textId="0C69E4BB" w:rsidR="00AD5F1C" w:rsidRDefault="00AD5F1C" w:rsidP="1DF18069">
      <w:pPr>
        <w:rPr>
          <w:szCs w:val="24"/>
        </w:rPr>
      </w:pPr>
    </w:p>
    <w:p w14:paraId="5578834B" w14:textId="0B51B847" w:rsidR="004D56E6" w:rsidRDefault="004D56E6" w:rsidP="1DF18069">
      <w:pPr>
        <w:rPr>
          <w:szCs w:val="24"/>
        </w:rPr>
      </w:pPr>
    </w:p>
    <w:p w14:paraId="59174213" w14:textId="77777777" w:rsidR="004D56E6" w:rsidRDefault="004D56E6" w:rsidP="1DF18069">
      <w:pPr>
        <w:rPr>
          <w:szCs w:val="24"/>
        </w:rPr>
      </w:pPr>
    </w:p>
    <w:p w14:paraId="6BD7A19E" w14:textId="19935587" w:rsidR="003153CF" w:rsidRPr="004A40A4" w:rsidRDefault="003153CF" w:rsidP="3184F79F">
      <w:pPr>
        <w:rPr>
          <w:rFonts w:asciiTheme="majorHAnsi" w:eastAsiaTheme="majorEastAsia" w:hAnsiTheme="majorHAnsi" w:cstheme="majorBidi"/>
          <w:color w:val="FFFFFF" w:themeColor="background1"/>
        </w:rPr>
      </w:pPr>
      <w:r w:rsidRPr="004A40A4">
        <w:rPr>
          <w:rFonts w:asciiTheme="majorHAnsi" w:eastAsiaTheme="majorEastAsia" w:hAnsiTheme="majorHAnsi" w:cstheme="majorBidi"/>
          <w:color w:val="FFFFFF" w:themeColor="background1"/>
        </w:rPr>
        <w:t>C</w:t>
      </w:r>
    </w:p>
    <w:tbl>
      <w:tblPr>
        <w:tblW w:w="5000" w:type="pct"/>
        <w:tblCellMar>
          <w:top w:w="72" w:type="dxa"/>
          <w:left w:w="115" w:type="dxa"/>
          <w:bottom w:w="72" w:type="dxa"/>
          <w:right w:w="115" w:type="dxa"/>
        </w:tblCellMar>
        <w:tblLook w:val="04A0" w:firstRow="1" w:lastRow="0" w:firstColumn="1" w:lastColumn="0" w:noHBand="0" w:noVBand="1"/>
      </w:tblPr>
      <w:tblGrid>
        <w:gridCol w:w="670"/>
        <w:gridCol w:w="8920"/>
      </w:tblGrid>
      <w:tr w:rsidR="0090025C" w:rsidRPr="005C7103" w14:paraId="6D372C65" w14:textId="77777777" w:rsidTr="004A40A4">
        <w:trPr>
          <w:trHeight w:val="300"/>
        </w:trPr>
        <w:tc>
          <w:tcPr>
            <w:tcW w:w="189" w:type="pct"/>
            <w:tcBorders>
              <w:bottom w:val="single" w:sz="4" w:space="0" w:color="auto"/>
            </w:tcBorders>
            <w:shd w:val="clear" w:color="auto" w:fill="auto"/>
            <w:noWrap/>
            <w:hideMark/>
          </w:tcPr>
          <w:p w14:paraId="166BDE93" w14:textId="77777777" w:rsidR="0090025C" w:rsidRPr="00D1048F" w:rsidRDefault="25E578CC" w:rsidP="3184F79F">
            <w:pPr>
              <w:ind w:left="360"/>
              <w:rPr>
                <w:rFonts w:asciiTheme="majorHAnsi" w:eastAsiaTheme="majorEastAsia" w:hAnsiTheme="majorHAnsi" w:cstheme="majorBidi"/>
                <w:b/>
                <w:bCs/>
                <w:color w:val="000000"/>
                <w:sz w:val="18"/>
                <w:szCs w:val="18"/>
              </w:rPr>
            </w:pPr>
            <w:r w:rsidRPr="3184F79F">
              <w:rPr>
                <w:rFonts w:asciiTheme="majorHAnsi" w:eastAsiaTheme="majorEastAsia" w:hAnsiTheme="majorHAnsi" w:cstheme="majorBidi"/>
                <w:b/>
                <w:bCs/>
                <w:color w:val="000000" w:themeColor="text1"/>
                <w:sz w:val="18"/>
                <w:szCs w:val="18"/>
              </w:rPr>
              <w:t>1</w:t>
            </w:r>
          </w:p>
        </w:tc>
        <w:tc>
          <w:tcPr>
            <w:tcW w:w="4811" w:type="pct"/>
            <w:tcBorders>
              <w:bottom w:val="single" w:sz="4" w:space="0" w:color="auto"/>
            </w:tcBorders>
            <w:shd w:val="clear" w:color="auto" w:fill="auto"/>
            <w:noWrap/>
            <w:hideMark/>
          </w:tcPr>
          <w:tbl>
            <w:tblPr>
              <w:tblW w:w="8881" w:type="dxa"/>
              <w:tblCellMar>
                <w:top w:w="14" w:type="dxa"/>
                <w:left w:w="14" w:type="dxa"/>
                <w:bottom w:w="14" w:type="dxa"/>
                <w:right w:w="14" w:type="dxa"/>
              </w:tblCellMar>
              <w:tblLook w:val="04A0" w:firstRow="1" w:lastRow="0" w:firstColumn="1" w:lastColumn="0" w:noHBand="0" w:noVBand="1"/>
            </w:tblPr>
            <w:tblGrid>
              <w:gridCol w:w="19"/>
              <w:gridCol w:w="873"/>
              <w:gridCol w:w="19"/>
              <w:gridCol w:w="6049"/>
              <w:gridCol w:w="19"/>
              <w:gridCol w:w="1569"/>
              <w:gridCol w:w="132"/>
            </w:tblGrid>
            <w:tr w:rsidR="0090025C" w:rsidRPr="00CB3336" w14:paraId="610911C5" w14:textId="77777777" w:rsidTr="004A40A4">
              <w:trPr>
                <w:gridAfter w:val="1"/>
                <w:wAfter w:w="135" w:type="dxa"/>
                <w:trHeight w:val="300"/>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0C0D645" w14:textId="77777777" w:rsidR="0090025C" w:rsidRPr="00D1048F" w:rsidRDefault="25E578CC" w:rsidP="004A40A4">
                  <w:pPr>
                    <w:jc w:val="center"/>
                    <w:rPr>
                      <w:rFonts w:asciiTheme="majorHAnsi" w:eastAsiaTheme="majorEastAsia" w:hAnsiTheme="majorHAnsi" w:cstheme="majorBidi"/>
                      <w:b/>
                      <w:bCs/>
                      <w:color w:val="000000"/>
                      <w:sz w:val="20"/>
                    </w:rPr>
                  </w:pPr>
                  <w:r w:rsidRPr="1DF18069">
                    <w:rPr>
                      <w:rFonts w:asciiTheme="majorHAnsi" w:eastAsiaTheme="majorEastAsia" w:hAnsiTheme="majorHAnsi" w:cstheme="majorBidi"/>
                      <w:b/>
                      <w:bCs/>
                      <w:color w:val="000000" w:themeColor="text1"/>
                      <w:sz w:val="20"/>
                    </w:rPr>
                    <w:t>Section</w:t>
                  </w:r>
                </w:p>
              </w:tc>
              <w:tc>
                <w:tcPr>
                  <w:tcW w:w="6210"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0E8C0D4" w14:textId="77777777" w:rsidR="0090025C" w:rsidRPr="00D1048F" w:rsidRDefault="25E578CC" w:rsidP="004A40A4">
                  <w:pPr>
                    <w:jc w:val="center"/>
                    <w:rPr>
                      <w:rFonts w:asciiTheme="majorHAnsi" w:eastAsiaTheme="majorEastAsia" w:hAnsiTheme="majorHAnsi" w:cstheme="majorBidi"/>
                      <w:b/>
                      <w:bCs/>
                      <w:color w:val="000000"/>
                      <w:sz w:val="20"/>
                    </w:rPr>
                  </w:pPr>
                  <w:r w:rsidRPr="1DF18069">
                    <w:rPr>
                      <w:rFonts w:asciiTheme="majorHAnsi" w:eastAsiaTheme="majorEastAsia" w:hAnsiTheme="majorHAnsi" w:cstheme="majorBidi"/>
                      <w:b/>
                      <w:bCs/>
                      <w:color w:val="000000" w:themeColor="text1"/>
                      <w:sz w:val="20"/>
                    </w:rPr>
                    <w:t>Requirement</w:t>
                  </w:r>
                </w:p>
              </w:tc>
              <w:tc>
                <w:tcPr>
                  <w:tcW w:w="1624"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C3A3B7C" w14:textId="4444CA6C" w:rsidR="0090025C" w:rsidRPr="00D1048F" w:rsidRDefault="18262BF9" w:rsidP="004A40A4">
                  <w:pPr>
                    <w:jc w:val="center"/>
                    <w:rPr>
                      <w:rFonts w:asciiTheme="majorHAnsi" w:eastAsiaTheme="majorEastAsia" w:hAnsiTheme="majorHAnsi" w:cstheme="majorBidi"/>
                      <w:b/>
                      <w:bCs/>
                      <w:color w:val="000000"/>
                      <w:sz w:val="20"/>
                    </w:rPr>
                  </w:pPr>
                  <w:r w:rsidRPr="1DF18069">
                    <w:rPr>
                      <w:rFonts w:asciiTheme="majorHAnsi" w:eastAsiaTheme="majorEastAsia" w:hAnsiTheme="majorHAnsi" w:cstheme="majorBidi"/>
                      <w:b/>
                      <w:bCs/>
                      <w:color w:val="000000" w:themeColor="text1"/>
                      <w:sz w:val="20"/>
                    </w:rPr>
                    <w:t>Yes/No</w:t>
                  </w:r>
                </w:p>
              </w:tc>
            </w:tr>
            <w:tr w:rsidR="0090025C" w:rsidRPr="00CB3336" w14:paraId="187D0DA4" w14:textId="77777777" w:rsidTr="004A40A4">
              <w:trPr>
                <w:gridBefore w:val="1"/>
                <w:wBefore w:w="19" w:type="dxa"/>
                <w:trHeight w:val="504"/>
              </w:trPr>
              <w:tc>
                <w:tcPr>
                  <w:tcW w:w="912" w:type="dxa"/>
                  <w:gridSpan w:val="2"/>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33FB9EB0" w14:textId="4DEBD01B" w:rsidR="0090025C" w:rsidRPr="00D1048F" w:rsidRDefault="4FAC0340" w:rsidP="1DF18069">
                  <w:pPr>
                    <w:jc w:val="center"/>
                    <w:rPr>
                      <w:rFonts w:asciiTheme="majorHAnsi" w:eastAsiaTheme="majorEastAsia" w:hAnsiTheme="majorHAnsi" w:cstheme="majorBidi"/>
                      <w:color w:val="000000"/>
                      <w:sz w:val="20"/>
                    </w:rPr>
                  </w:pPr>
                  <w:r w:rsidRPr="1DF18069">
                    <w:rPr>
                      <w:rFonts w:asciiTheme="majorHAnsi" w:eastAsiaTheme="majorEastAsia" w:hAnsiTheme="majorHAnsi" w:cstheme="majorBidi"/>
                      <w:color w:val="000000" w:themeColor="text1"/>
                      <w:sz w:val="20"/>
                    </w:rPr>
                    <w:t>1.1</w:t>
                  </w:r>
                </w:p>
              </w:tc>
              <w:tc>
                <w:tcPr>
                  <w:tcW w:w="6210" w:type="dxa"/>
                  <w:gridSpan w:val="2"/>
                  <w:tcBorders>
                    <w:top w:val="nil"/>
                    <w:left w:val="nil"/>
                    <w:bottom w:val="single" w:sz="4" w:space="0" w:color="auto"/>
                    <w:right w:val="single" w:sz="4" w:space="0" w:color="auto"/>
                  </w:tcBorders>
                  <w:shd w:val="clear" w:color="auto" w:fill="D9E2F3" w:themeFill="accent1" w:themeFillTint="33"/>
                  <w:vAlign w:val="center"/>
                  <w:hideMark/>
                </w:tcPr>
                <w:p w14:paraId="5703A3E6" w14:textId="1E167BC9" w:rsidR="0090025C" w:rsidRPr="00D1048F" w:rsidRDefault="0090025C" w:rsidP="1DF18069">
                  <w:pPr>
                    <w:rPr>
                      <w:rFonts w:asciiTheme="majorHAnsi" w:eastAsiaTheme="majorEastAsia" w:hAnsiTheme="majorHAnsi" w:cstheme="majorBidi"/>
                      <w:color w:val="080808"/>
                      <w:sz w:val="20"/>
                    </w:rPr>
                  </w:pPr>
                  <w:r w:rsidRPr="3AFA037F">
                    <w:rPr>
                      <w:rFonts w:asciiTheme="majorHAnsi" w:eastAsiaTheme="majorEastAsia" w:hAnsiTheme="majorHAnsi" w:cstheme="majorBidi"/>
                      <w:sz w:val="20"/>
                    </w:rPr>
                    <w:t xml:space="preserve">The </w:t>
                  </w:r>
                  <w:r w:rsidR="25E578CC" w:rsidRPr="3AFA037F">
                    <w:rPr>
                      <w:rFonts w:asciiTheme="majorHAnsi" w:eastAsiaTheme="majorEastAsia" w:hAnsiTheme="majorHAnsi" w:cstheme="majorBidi"/>
                      <w:sz w:val="20"/>
                    </w:rPr>
                    <w:t>Vendor</w:t>
                  </w:r>
                  <w:r w:rsidR="18262BF9" w:rsidRPr="3AFA037F">
                    <w:rPr>
                      <w:rFonts w:asciiTheme="majorHAnsi" w:eastAsiaTheme="majorEastAsia" w:hAnsiTheme="majorHAnsi" w:cstheme="majorBidi"/>
                      <w:sz w:val="20"/>
                    </w:rPr>
                    <w:t xml:space="preserve"> shall follow all State and federal laws and regulations in the performance of its duties providing the Unemployment Insurance Benefit Payment Distribution.</w:t>
                  </w:r>
                </w:p>
              </w:tc>
              <w:tc>
                <w:tcPr>
                  <w:tcW w:w="1740" w:type="dxa"/>
                  <w:gridSpan w:val="2"/>
                  <w:tcBorders>
                    <w:top w:val="nil"/>
                    <w:left w:val="nil"/>
                    <w:bottom w:val="single" w:sz="4" w:space="0" w:color="auto"/>
                    <w:right w:val="single" w:sz="4" w:space="0" w:color="auto"/>
                  </w:tcBorders>
                  <w:shd w:val="clear" w:color="auto" w:fill="D9E2F3" w:themeFill="accent1" w:themeFillTint="33"/>
                  <w:noWrap/>
                  <w:vAlign w:val="center"/>
                  <w:hideMark/>
                </w:tcPr>
                <w:p w14:paraId="41B37FDA" w14:textId="77777777" w:rsidR="0090025C" w:rsidRPr="00D1048F" w:rsidRDefault="0090025C" w:rsidP="1DF18069">
                  <w:pPr>
                    <w:ind w:left="360"/>
                    <w:jc w:val="center"/>
                    <w:rPr>
                      <w:rFonts w:asciiTheme="majorHAnsi" w:eastAsiaTheme="majorEastAsia" w:hAnsiTheme="majorHAnsi" w:cstheme="majorBidi"/>
                      <w:color w:val="000000"/>
                      <w:sz w:val="20"/>
                    </w:rPr>
                  </w:pPr>
                </w:p>
                <w:p w14:paraId="1E3CAB1C" w14:textId="5D0B2926" w:rsidR="0090025C" w:rsidRPr="00FD6435" w:rsidRDefault="000E0989" w:rsidP="1DF18069">
                  <w:pPr>
                    <w:rPr>
                      <w:rFonts w:asciiTheme="majorHAnsi" w:eastAsiaTheme="majorEastAsia" w:hAnsiTheme="majorHAnsi" w:cstheme="majorBidi"/>
                      <w:sz w:val="20"/>
                    </w:rPr>
                  </w:pPr>
                  <w:r>
                    <w:rPr>
                      <w:rFonts w:asciiTheme="majorHAnsi" w:eastAsiaTheme="majorEastAsia" w:hAnsiTheme="majorHAnsi" w:cstheme="majorBidi"/>
                      <w:sz w:val="20"/>
                    </w:rPr>
                    <w:t xml:space="preserve">           </w:t>
                  </w:r>
                  <w:r w:rsidR="00521B6F">
                    <w:rPr>
                      <w:rFonts w:asciiTheme="majorHAnsi" w:eastAsiaTheme="majorEastAsia" w:hAnsiTheme="majorHAnsi" w:cstheme="majorBidi"/>
                      <w:sz w:val="20"/>
                    </w:rPr>
                    <w:t>YES</w:t>
                  </w:r>
                </w:p>
              </w:tc>
            </w:tr>
            <w:tr w:rsidR="0090025C" w:rsidRPr="00CB3336" w14:paraId="50654C58" w14:textId="77777777" w:rsidTr="004A40A4">
              <w:trPr>
                <w:gridBefore w:val="1"/>
                <w:wBefore w:w="19" w:type="dxa"/>
                <w:trHeight w:val="870"/>
              </w:trPr>
              <w:tc>
                <w:tcPr>
                  <w:tcW w:w="912" w:type="dxa"/>
                  <w:gridSpan w:val="2"/>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17468776" w14:textId="6A5F12A9" w:rsidR="0090025C" w:rsidRPr="00D1048F" w:rsidRDefault="4FAC0340" w:rsidP="1DF18069">
                  <w:pPr>
                    <w:jc w:val="center"/>
                    <w:rPr>
                      <w:rFonts w:asciiTheme="majorHAnsi" w:eastAsiaTheme="majorEastAsia" w:hAnsiTheme="majorHAnsi" w:cstheme="majorBidi"/>
                      <w:color w:val="000000"/>
                      <w:sz w:val="20"/>
                    </w:rPr>
                  </w:pPr>
                  <w:r w:rsidRPr="1DF18069">
                    <w:rPr>
                      <w:rFonts w:asciiTheme="majorHAnsi" w:eastAsiaTheme="majorEastAsia" w:hAnsiTheme="majorHAnsi" w:cstheme="majorBidi"/>
                      <w:color w:val="000000" w:themeColor="text1"/>
                      <w:sz w:val="20"/>
                    </w:rPr>
                    <w:t>1.1</w:t>
                  </w:r>
                </w:p>
              </w:tc>
              <w:tc>
                <w:tcPr>
                  <w:tcW w:w="6210" w:type="dxa"/>
                  <w:gridSpan w:val="2"/>
                  <w:tcBorders>
                    <w:top w:val="nil"/>
                    <w:left w:val="nil"/>
                    <w:bottom w:val="single" w:sz="4" w:space="0" w:color="auto"/>
                    <w:right w:val="single" w:sz="4" w:space="0" w:color="auto"/>
                  </w:tcBorders>
                  <w:shd w:val="clear" w:color="auto" w:fill="D9E2F3" w:themeFill="accent1" w:themeFillTint="33"/>
                  <w:vAlign w:val="center"/>
                  <w:hideMark/>
                </w:tcPr>
                <w:p w14:paraId="07C76F25" w14:textId="53FEE369" w:rsidR="0090025C" w:rsidRPr="00D1048F" w:rsidRDefault="18262BF9" w:rsidP="1DF18069">
                  <w:pPr>
                    <w:rPr>
                      <w:rFonts w:asciiTheme="majorHAnsi" w:eastAsiaTheme="majorEastAsia" w:hAnsiTheme="majorHAnsi" w:cstheme="majorBidi"/>
                      <w:color w:val="000000"/>
                      <w:sz w:val="20"/>
                    </w:rPr>
                  </w:pPr>
                  <w:r w:rsidRPr="1DF18069">
                    <w:rPr>
                      <w:rFonts w:asciiTheme="majorHAnsi" w:eastAsiaTheme="majorEastAsia" w:hAnsiTheme="majorHAnsi" w:cstheme="majorBidi"/>
                      <w:sz w:val="20"/>
                    </w:rPr>
                    <w:t xml:space="preserve">The </w:t>
                  </w:r>
                  <w:r w:rsidR="25E578CC" w:rsidRPr="1DF18069">
                    <w:rPr>
                      <w:rFonts w:asciiTheme="majorHAnsi" w:eastAsiaTheme="majorEastAsia" w:hAnsiTheme="majorHAnsi" w:cstheme="majorBidi"/>
                      <w:sz w:val="20"/>
                    </w:rPr>
                    <w:t>Vendor</w:t>
                  </w:r>
                  <w:r w:rsidRPr="1DF18069">
                    <w:rPr>
                      <w:rFonts w:asciiTheme="majorHAnsi" w:eastAsiaTheme="majorEastAsia" w:hAnsiTheme="majorHAnsi" w:cstheme="majorBidi"/>
                      <w:sz w:val="20"/>
                    </w:rPr>
                    <w:t xml:space="preserve"> shall provide advanced warning of all changes. Minor changes shall require at least thirty (30) days’ notice, while major changes shall require at least ninety (90) days’ notice.</w:t>
                  </w:r>
                </w:p>
              </w:tc>
              <w:tc>
                <w:tcPr>
                  <w:tcW w:w="1740" w:type="dxa"/>
                  <w:gridSpan w:val="2"/>
                  <w:tcBorders>
                    <w:top w:val="nil"/>
                    <w:left w:val="nil"/>
                    <w:bottom w:val="single" w:sz="4" w:space="0" w:color="auto"/>
                    <w:right w:val="single" w:sz="4" w:space="0" w:color="auto"/>
                  </w:tcBorders>
                  <w:shd w:val="clear" w:color="auto" w:fill="D9E2F3" w:themeFill="accent1" w:themeFillTint="33"/>
                  <w:noWrap/>
                  <w:vAlign w:val="center"/>
                  <w:hideMark/>
                </w:tcPr>
                <w:p w14:paraId="08FF978A" w14:textId="113F28B8" w:rsidR="0090025C" w:rsidRPr="00D1048F" w:rsidRDefault="00521B6F" w:rsidP="000E0989">
                  <w:pPr>
                    <w:ind w:left="360"/>
                    <w:rPr>
                      <w:rFonts w:asciiTheme="majorHAnsi" w:eastAsiaTheme="majorEastAsia" w:hAnsiTheme="majorHAnsi" w:cstheme="majorBidi"/>
                      <w:color w:val="000000"/>
                      <w:sz w:val="20"/>
                    </w:rPr>
                  </w:pPr>
                  <w:r>
                    <w:rPr>
                      <w:rFonts w:asciiTheme="majorHAnsi" w:eastAsiaTheme="majorEastAsia" w:hAnsiTheme="majorHAnsi" w:cstheme="majorBidi"/>
                      <w:color w:val="000000"/>
                      <w:sz w:val="20"/>
                    </w:rPr>
                    <w:t>YES</w:t>
                  </w:r>
                </w:p>
              </w:tc>
            </w:tr>
            <w:tr w:rsidR="0F0B1CDC" w14:paraId="3A437DC4" w14:textId="77777777" w:rsidTr="3AFA037F">
              <w:trPr>
                <w:gridBefore w:val="1"/>
                <w:wBefore w:w="19" w:type="dxa"/>
                <w:trHeight w:val="705"/>
              </w:trPr>
              <w:tc>
                <w:tcPr>
                  <w:tcW w:w="912" w:type="dxa"/>
                  <w:gridSpan w:val="2"/>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1E57FE18" w14:textId="480492C4" w:rsidR="0F0B1CDC" w:rsidRDefault="4FAC0340"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1.1</w:t>
                  </w:r>
                </w:p>
              </w:tc>
              <w:tc>
                <w:tcPr>
                  <w:tcW w:w="6210" w:type="dxa"/>
                  <w:gridSpan w:val="2"/>
                  <w:tcBorders>
                    <w:top w:val="nil"/>
                    <w:left w:val="nil"/>
                    <w:bottom w:val="single" w:sz="4" w:space="0" w:color="auto"/>
                    <w:right w:val="single" w:sz="4" w:space="0" w:color="auto"/>
                  </w:tcBorders>
                  <w:shd w:val="clear" w:color="auto" w:fill="D9E2F3" w:themeFill="accent1" w:themeFillTint="33"/>
                  <w:vAlign w:val="center"/>
                  <w:hideMark/>
                </w:tcPr>
                <w:p w14:paraId="1E43C924" w14:textId="2DF62168" w:rsidR="0F0B1CDC" w:rsidRDefault="2EEBDDB3"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 xml:space="preserve">The </w:t>
                  </w:r>
                  <w:r w:rsidR="4FAC0340" w:rsidRPr="1DF18069">
                    <w:rPr>
                      <w:rFonts w:asciiTheme="majorHAnsi" w:eastAsiaTheme="majorEastAsia" w:hAnsiTheme="majorHAnsi" w:cstheme="majorBidi"/>
                      <w:sz w:val="20"/>
                    </w:rPr>
                    <w:t>Vendor</w:t>
                  </w:r>
                  <w:r w:rsidRPr="1DF18069">
                    <w:rPr>
                      <w:rFonts w:asciiTheme="majorHAnsi" w:eastAsiaTheme="majorEastAsia" w:hAnsiTheme="majorHAnsi" w:cstheme="majorBidi"/>
                      <w:sz w:val="20"/>
                    </w:rPr>
                    <w:t xml:space="preserve"> shall have a minimum of three viable payment distributions options, but no option shall be a program or State of Indiana branded stored value card.</w:t>
                  </w:r>
                </w:p>
              </w:tc>
              <w:tc>
                <w:tcPr>
                  <w:tcW w:w="1740" w:type="dxa"/>
                  <w:gridSpan w:val="2"/>
                  <w:tcBorders>
                    <w:top w:val="nil"/>
                    <w:left w:val="nil"/>
                    <w:bottom w:val="single" w:sz="4" w:space="0" w:color="auto"/>
                    <w:right w:val="single" w:sz="4" w:space="0" w:color="auto"/>
                  </w:tcBorders>
                  <w:shd w:val="clear" w:color="auto" w:fill="D9E2F3" w:themeFill="accent1" w:themeFillTint="33"/>
                  <w:noWrap/>
                  <w:vAlign w:val="center"/>
                  <w:hideMark/>
                </w:tcPr>
                <w:p w14:paraId="052B2F01" w14:textId="0D887C55" w:rsidR="0F0B1CDC"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4DB70AC9" w14:paraId="5EA6979F" w14:textId="77777777" w:rsidTr="3AFA037F">
              <w:trPr>
                <w:gridBefore w:val="1"/>
                <w:wBefore w:w="19" w:type="dxa"/>
                <w:trHeight w:val="720"/>
              </w:trPr>
              <w:tc>
                <w:tcPr>
                  <w:tcW w:w="912" w:type="dxa"/>
                  <w:gridSpan w:val="2"/>
                  <w:tcBorders>
                    <w:top w:val="single" w:sz="4" w:space="0" w:color="auto"/>
                    <w:left w:val="single" w:sz="4" w:space="0" w:color="auto"/>
                    <w:bottom w:val="single" w:sz="2" w:space="0" w:color="000000" w:themeColor="text1"/>
                    <w:right w:val="single" w:sz="4" w:space="0" w:color="auto"/>
                  </w:tcBorders>
                  <w:shd w:val="clear" w:color="auto" w:fill="D9E2F3" w:themeFill="accent1" w:themeFillTint="33"/>
                  <w:noWrap/>
                  <w:vAlign w:val="center"/>
                </w:tcPr>
                <w:p w14:paraId="40A05C26" w14:textId="22084D4E" w:rsidR="4DB70AC9" w:rsidRDefault="4FAC0340"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1.2</w:t>
                  </w:r>
                </w:p>
              </w:tc>
              <w:tc>
                <w:tcPr>
                  <w:tcW w:w="6210" w:type="dxa"/>
                  <w:gridSpan w:val="2"/>
                  <w:tcBorders>
                    <w:top w:val="single" w:sz="4" w:space="0" w:color="auto"/>
                    <w:left w:val="nil"/>
                    <w:bottom w:val="single" w:sz="2" w:space="0" w:color="000000" w:themeColor="text1"/>
                    <w:right w:val="single" w:sz="4" w:space="0" w:color="auto"/>
                  </w:tcBorders>
                  <w:shd w:val="clear" w:color="auto" w:fill="D9E2F3" w:themeFill="accent1" w:themeFillTint="33"/>
                  <w:vAlign w:val="center"/>
                </w:tcPr>
                <w:p w14:paraId="468A8850" w14:textId="55E72A7D" w:rsidR="4DB70AC9" w:rsidRDefault="2EEBDDB3"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 xml:space="preserve">The </w:t>
                  </w:r>
                  <w:r w:rsidR="2C19A64F" w:rsidRPr="1DF18069">
                    <w:rPr>
                      <w:rFonts w:asciiTheme="majorHAnsi" w:eastAsiaTheme="majorEastAsia" w:hAnsiTheme="majorHAnsi" w:cstheme="majorBidi"/>
                      <w:sz w:val="20"/>
                    </w:rPr>
                    <w:t xml:space="preserve">Vendor </w:t>
                  </w:r>
                  <w:r w:rsidRPr="1DF18069">
                    <w:rPr>
                      <w:rFonts w:asciiTheme="majorHAnsi" w:eastAsiaTheme="majorEastAsia" w:hAnsiTheme="majorHAnsi" w:cstheme="majorBidi"/>
                      <w:sz w:val="20"/>
                    </w:rPr>
                    <w:t>will receive the funds from DWD on behalf of State and Federal UI programs and will distribute funds according to the claimant’s preference without relying on DWD to initiate, maintain, direct, or otherwise administer the selection of the payment method.</w:t>
                  </w:r>
                </w:p>
              </w:tc>
              <w:tc>
                <w:tcPr>
                  <w:tcW w:w="1740" w:type="dxa"/>
                  <w:gridSpan w:val="2"/>
                  <w:tcBorders>
                    <w:top w:val="single" w:sz="4" w:space="0" w:color="auto"/>
                    <w:left w:val="nil"/>
                    <w:bottom w:val="single" w:sz="2" w:space="0" w:color="000000" w:themeColor="text1"/>
                    <w:right w:val="single" w:sz="4" w:space="0" w:color="auto"/>
                  </w:tcBorders>
                  <w:shd w:val="clear" w:color="auto" w:fill="D9E2F3" w:themeFill="accent1" w:themeFillTint="33"/>
                  <w:noWrap/>
                  <w:vAlign w:val="center"/>
                </w:tcPr>
                <w:p w14:paraId="20E86EDD" w14:textId="734EF3AD" w:rsidR="4DB70AC9"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4DB70AC9" w14:paraId="0D0553CB" w14:textId="77777777" w:rsidTr="3AFA037F">
              <w:trPr>
                <w:gridBefore w:val="1"/>
                <w:wBefore w:w="19" w:type="dxa"/>
                <w:trHeight w:val="720"/>
              </w:trPr>
              <w:tc>
                <w:tcPr>
                  <w:tcW w:w="912"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9E2F3" w:themeFill="accent1" w:themeFillTint="33"/>
                  <w:noWrap/>
                  <w:vAlign w:val="center"/>
                </w:tcPr>
                <w:p w14:paraId="09834815" w14:textId="31F9B3FD" w:rsidR="4DB70AC9" w:rsidRDefault="4FAC0340"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1.2</w:t>
                  </w:r>
                </w:p>
              </w:tc>
              <w:tc>
                <w:tcPr>
                  <w:tcW w:w="6210" w:type="dxa"/>
                  <w:gridSpan w:val="2"/>
                  <w:tcBorders>
                    <w:top w:val="single" w:sz="2" w:space="0" w:color="000000" w:themeColor="text1"/>
                    <w:left w:val="nil"/>
                    <w:bottom w:val="single" w:sz="2" w:space="0" w:color="000000" w:themeColor="text1"/>
                    <w:right w:val="single" w:sz="2" w:space="0" w:color="000000" w:themeColor="text1"/>
                  </w:tcBorders>
                  <w:shd w:val="clear" w:color="auto" w:fill="D9E2F3" w:themeFill="accent1" w:themeFillTint="33"/>
                  <w:vAlign w:val="center"/>
                </w:tcPr>
                <w:p w14:paraId="1909F9DF" w14:textId="48273F75" w:rsidR="4DB70AC9" w:rsidRDefault="2EEBDDB3"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 xml:space="preserve">The </w:t>
                  </w:r>
                  <w:r w:rsidR="2C19A64F" w:rsidRPr="1DF18069">
                    <w:rPr>
                      <w:rFonts w:asciiTheme="majorHAnsi" w:eastAsiaTheme="majorEastAsia" w:hAnsiTheme="majorHAnsi" w:cstheme="majorBidi"/>
                      <w:sz w:val="20"/>
                    </w:rPr>
                    <w:t>Vendor</w:t>
                  </w:r>
                  <w:r w:rsidRPr="1DF18069">
                    <w:rPr>
                      <w:rFonts w:asciiTheme="majorHAnsi" w:eastAsiaTheme="majorEastAsia" w:hAnsiTheme="majorHAnsi" w:cstheme="majorBidi"/>
                      <w:sz w:val="20"/>
                    </w:rPr>
                    <w:t xml:space="preserve"> shall be responsible for distributing payments, managing account records, ensuring appropriate security measures and fraud detection methods are employed over the course of the Contract, providing customer service functionalities, and assisting with marketing efforts.</w:t>
                  </w:r>
                </w:p>
              </w:tc>
              <w:tc>
                <w:tcPr>
                  <w:tcW w:w="1740" w:type="dxa"/>
                  <w:gridSpan w:val="2"/>
                  <w:tcBorders>
                    <w:top w:val="single" w:sz="2" w:space="0" w:color="000000" w:themeColor="text1"/>
                    <w:left w:val="nil"/>
                    <w:bottom w:val="single" w:sz="2" w:space="0" w:color="000000" w:themeColor="text1"/>
                    <w:right w:val="single" w:sz="2" w:space="0" w:color="000000" w:themeColor="text1"/>
                  </w:tcBorders>
                  <w:shd w:val="clear" w:color="auto" w:fill="D9E2F3" w:themeFill="accent1" w:themeFillTint="33"/>
                  <w:noWrap/>
                  <w:vAlign w:val="center"/>
                </w:tcPr>
                <w:p w14:paraId="304E0994" w14:textId="4A21597F" w:rsidR="4DB70AC9"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4DB70AC9" w14:paraId="6792E7FA" w14:textId="77777777" w:rsidTr="3AFA037F">
              <w:trPr>
                <w:gridBefore w:val="1"/>
                <w:wBefore w:w="19" w:type="dxa"/>
                <w:trHeight w:val="720"/>
              </w:trPr>
              <w:tc>
                <w:tcPr>
                  <w:tcW w:w="912" w:type="dxa"/>
                  <w:gridSpan w:val="2"/>
                  <w:tcBorders>
                    <w:top w:val="single" w:sz="2" w:space="0" w:color="000000" w:themeColor="text1"/>
                    <w:left w:val="single" w:sz="4" w:space="0" w:color="auto"/>
                    <w:bottom w:val="single" w:sz="4" w:space="0" w:color="auto"/>
                    <w:right w:val="single" w:sz="4" w:space="0" w:color="auto"/>
                  </w:tcBorders>
                  <w:shd w:val="clear" w:color="auto" w:fill="D9E2F3" w:themeFill="accent1" w:themeFillTint="33"/>
                  <w:noWrap/>
                  <w:vAlign w:val="center"/>
                </w:tcPr>
                <w:p w14:paraId="7A14043E" w14:textId="4EB43078" w:rsidR="4DB70AC9" w:rsidRDefault="4FAC0340"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1.2</w:t>
                  </w:r>
                </w:p>
              </w:tc>
              <w:tc>
                <w:tcPr>
                  <w:tcW w:w="6210" w:type="dxa"/>
                  <w:gridSpan w:val="2"/>
                  <w:tcBorders>
                    <w:top w:val="single" w:sz="2" w:space="0" w:color="000000" w:themeColor="text1"/>
                    <w:left w:val="nil"/>
                    <w:bottom w:val="single" w:sz="4" w:space="0" w:color="auto"/>
                    <w:right w:val="single" w:sz="4" w:space="0" w:color="auto"/>
                  </w:tcBorders>
                  <w:shd w:val="clear" w:color="auto" w:fill="D9E2F3" w:themeFill="accent1" w:themeFillTint="33"/>
                  <w:vAlign w:val="center"/>
                </w:tcPr>
                <w:p w14:paraId="3DE7E746" w14:textId="4DCA34CB" w:rsidR="4DB70AC9" w:rsidRDefault="2EEBDDB3"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 xml:space="preserve">The </w:t>
                  </w:r>
                  <w:r w:rsidR="2C19A64F" w:rsidRPr="1DF18069">
                    <w:rPr>
                      <w:rFonts w:asciiTheme="majorHAnsi" w:eastAsiaTheme="majorEastAsia" w:hAnsiTheme="majorHAnsi" w:cstheme="majorBidi"/>
                      <w:sz w:val="20"/>
                    </w:rPr>
                    <w:t>Vendor</w:t>
                  </w:r>
                  <w:r w:rsidRPr="1DF18069">
                    <w:rPr>
                      <w:rFonts w:asciiTheme="majorHAnsi" w:eastAsiaTheme="majorEastAsia" w:hAnsiTheme="majorHAnsi" w:cstheme="majorBidi"/>
                      <w:sz w:val="20"/>
                    </w:rPr>
                    <w:t xml:space="preserve"> is prohibited from charging fees to claimants related to the distribution of funds to the claimant’s designated payment method.  </w:t>
                  </w:r>
                </w:p>
              </w:tc>
              <w:tc>
                <w:tcPr>
                  <w:tcW w:w="1740" w:type="dxa"/>
                  <w:gridSpan w:val="2"/>
                  <w:tcBorders>
                    <w:top w:val="single" w:sz="2" w:space="0" w:color="000000" w:themeColor="text1"/>
                    <w:left w:val="nil"/>
                    <w:bottom w:val="single" w:sz="4" w:space="0" w:color="auto"/>
                    <w:right w:val="single" w:sz="4" w:space="0" w:color="auto"/>
                  </w:tcBorders>
                  <w:shd w:val="clear" w:color="auto" w:fill="D9E2F3" w:themeFill="accent1" w:themeFillTint="33"/>
                  <w:noWrap/>
                  <w:vAlign w:val="center"/>
                </w:tcPr>
                <w:p w14:paraId="68B10308" w14:textId="7596718D" w:rsidR="4DB70AC9"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4DB70AC9" w14:paraId="72ED3637"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F25F59F" w14:textId="0E0B349D" w:rsidR="4DB70AC9" w:rsidRDefault="4FAC0340"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1.2</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37A3B768" w14:textId="392F6B67" w:rsidR="4DB70AC9" w:rsidRDefault="2EEBDDB3"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 xml:space="preserve">The </w:t>
                  </w:r>
                  <w:r w:rsidR="2C19A64F" w:rsidRPr="1DF18069">
                    <w:rPr>
                      <w:rFonts w:asciiTheme="majorHAnsi" w:eastAsiaTheme="majorEastAsia" w:hAnsiTheme="majorHAnsi" w:cstheme="majorBidi"/>
                      <w:sz w:val="20"/>
                    </w:rPr>
                    <w:t>Vendor</w:t>
                  </w:r>
                  <w:r w:rsidRPr="1DF18069">
                    <w:rPr>
                      <w:rFonts w:asciiTheme="majorHAnsi" w:eastAsiaTheme="majorEastAsia" w:hAnsiTheme="majorHAnsi" w:cstheme="majorBidi"/>
                      <w:sz w:val="20"/>
                    </w:rPr>
                    <w:t xml:space="preserve"> shall have a default payment method, generally a check or money-order, where the claimant has failed to authorize a payment method within ten business days after DWD authorizes a distribution.</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64C6975C" w14:textId="35EE5CF4" w:rsidR="4DB70AC9"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619E9BC6" w14:paraId="14BDC940"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4533FC3A" w14:textId="0FF57B20" w:rsidR="722F09E1" w:rsidRDefault="4FAC0340"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1.2</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4B11300C" w14:textId="79D265B4" w:rsidR="2EEBDDB3" w:rsidRDefault="2EEBDDB3"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 xml:space="preserve">The </w:t>
                  </w:r>
                  <w:r w:rsidR="2C19A64F" w:rsidRPr="1DF18069">
                    <w:rPr>
                      <w:rFonts w:asciiTheme="majorHAnsi" w:eastAsiaTheme="majorEastAsia" w:hAnsiTheme="majorHAnsi" w:cstheme="majorBidi"/>
                      <w:sz w:val="20"/>
                    </w:rPr>
                    <w:t>Vendor</w:t>
                  </w:r>
                  <w:r w:rsidRPr="1DF18069">
                    <w:rPr>
                      <w:rFonts w:asciiTheme="majorHAnsi" w:eastAsiaTheme="majorEastAsia" w:hAnsiTheme="majorHAnsi" w:cstheme="majorBidi"/>
                      <w:sz w:val="20"/>
                    </w:rPr>
                    <w:t xml:space="preserve"> is required to safeguard the funds distributed to them until the funds are distributed to the claimant through an FDIC insured depository or equivalent.</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76633848" w14:textId="6960E321" w:rsidR="619E9BC6"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65142DF6"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514E00AC" w14:textId="027E997B"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3C88E811" w14:textId="7467082F"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have a payment distribution election mechanism available to the claimant no more than one business day after the information is transmitted and, ideally, in as near to real-time as reasonably possible.</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33368644" w14:textId="46532703" w:rsidR="74867A2D"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6276200D"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9F3EB47" w14:textId="6D9FFCA3"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248CB2C1" w14:textId="2FB1F97F"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be responsible for re-verification of the claimant’s identity against the information provided by DWD at the time of the claimant’s original payment distribution election and at any time that the claimant changes distribution elections</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59930A1A" w14:textId="2845DCED" w:rsidR="74867A2D"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7C390AD0"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76DBE7F9" w14:textId="6C31BB18"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58428F76" w14:textId="4EFB0F49"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Vendor shall fund the claimant via their preferred method on the same day that the funding file and funding are provided to the Vendor to the extent that the claimant has elected a payment distribution method.</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57899DD5" w14:textId="1555F5B8" w:rsidR="74867A2D"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18ECCF12"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D97F89F" w14:textId="23B0C8DA"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5EF56031" w14:textId="0A9BF0B3"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use the default mechanism for funding in the event that the claimant has not elected a payment distribution method within ten (10) business days of the first distribution by DWD to the Vendor on behalf of the claimant.</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4DF7EBE3" w14:textId="40DEA14E" w:rsidR="74867A2D"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0CBF0CE6"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7E5B36C5" w14:textId="7AA510C5"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669EB67C" w14:textId="5A474CD0"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have a reconciliation mechanism regarding funds which are returned for any reason to the Vendor after a distribution has been initiated (rejection) which shall include the original funding date, the attempted distribution date, the return reason, the amount returned, and the rejection date.</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459040F4" w14:textId="68895C92" w:rsidR="74867A2D" w:rsidRDefault="00521B6F"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1C98B322"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AA57D05" w14:textId="0566C6EF"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68F021AB" w14:textId="7C5A9C27"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return funds which could not be distributed to a claimant due to a rejection to DWD not later than two calendar years after the rejection of the distribution in the form and manner to be determined.</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6BD289C8" w14:textId="145B0B04"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62FAB422"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FD0F318" w14:textId="25A92EA5"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1.4</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03FE5D17" w14:textId="3B258725"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submit the reporting as required in section 1.4 of the SOW</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664290CF" w14:textId="4A872EEB"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6EB5398D"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1FBBDC96" w14:textId="7D062355"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1.5</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0514052C" w14:textId="29BE5D66"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self-identify any failures, delays, or slow processing of State transmitted files or data.  Such identification must be conveyed to the State upon discovery and include a plan for timely remedy of the issue</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6F61862D" w14:textId="6941F908"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37C32403"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AEA0E7D" w14:textId="0128BE13"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1.5</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3EA3824E" w14:textId="3AA6F07E"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furnish a point of contact for the State to communicate any issues it discovers.  This knowledgeable contact (which need not be a single individual) must be available 24 hours a day, seven days a week.  The contact must be able to respond to State inquiries or questions in fewer than 30 minutes, though such a response may necessarily be only an acknowledgement of receipt of the State’s issue.  In the event that the contact’s response is a receipt and acknowledgement (but not answer or resolution), the Vendor shall endeavor to resolve the issue or provide an answer within two (2) hours, and in any case with all deliberate speed. The contact should continue to provide periodic updates regarding the issue until it is remedied</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67238E2B" w14:textId="41AE61FB"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03247220"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389749F" w14:textId="0104C768"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1.6</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02A49104" w14:textId="07A1585B"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ensure that any website, web portal, browser plug-ins, or provided software for all transactions and functions (e.g., file transfers, reporting, status review, etc.) are compatible with Microsoft Windows 10 and greater, Internet Explorer 11 and greater, Safari, and the latest version of Google Chrome</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77EB52F8" w14:textId="205C4171" w:rsidR="74867A2D" w:rsidRDefault="00E16D65"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NO</w:t>
                  </w:r>
                </w:p>
              </w:tc>
            </w:tr>
            <w:tr w:rsidR="74867A2D" w14:paraId="35609A13"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6B5D25A" w14:textId="4667D8B6"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2.1</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54D902D4" w14:textId="6780A007"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advise, assist, and appropriately act to aid the State in detection and investigations of abuses by stores, Claimants, or personnel (State, Vendor, or a third party), including but not limited to, reporting unusual activity</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007A8B84" w14:textId="0382DD88"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39A9E777"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40A6099" w14:textId="6B1732C1"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2.2</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1C5E7299" w14:textId="1B46D9CF"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cooperate with various authorities of the State and Federal agencies responsible for compliance with laws and regulations surrounding the distribution of Unemployment Insurance benefits to Claimants.</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26E88375" w14:textId="514F8DA7"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18CA0BDC"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7BD60131" w14:textId="6A55E14E"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2.3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136F9D5B" w14:textId="1813ED2D"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shall produce and maintain a Security Document as described in Section 2.3 of the SOW</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22773FB6" w14:textId="3A227307"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7BC0120D"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98AD135" w14:textId="0DD15123"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3.1</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36763C50" w14:textId="4F7E99F5"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assumes all Financial Liability as described in section 3.1 of the SOW</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2E9DFCC4" w14:textId="56DDB1C9"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6788E052"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307F8FB" w14:textId="096C3768"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4.1</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79DB7F5E" w14:textId="46E53833"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The Vendor assumes all responsibilities and requirements for Protection of Personal or Private Information as described in section 4.1 of the SOW</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153B4E47" w14:textId="106A3030"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619E9BC6" w14:paraId="4393C304"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B4D8216" w14:textId="5CDD423B" w:rsidR="619E9BC6" w:rsidRDefault="1A04AFDA"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5.1</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6A791685" w14:textId="13FEAE51" w:rsidR="00752E91" w:rsidRDefault="2D7602EE"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Vendor</w:t>
                  </w:r>
                  <w:r w:rsidR="79E015DA" w:rsidRPr="1DF18069">
                    <w:rPr>
                      <w:rFonts w:asciiTheme="majorHAnsi" w:eastAsiaTheme="majorEastAsia" w:hAnsiTheme="majorHAnsi" w:cstheme="majorBidi"/>
                      <w:sz w:val="20"/>
                    </w:rPr>
                    <w:t xml:space="preserve"> agrees to notify the Agency within </w:t>
                  </w:r>
                  <w:commentRangeStart w:id="9"/>
                  <w:r w:rsidR="79E015DA" w:rsidRPr="1DF18069">
                    <w:rPr>
                      <w:rFonts w:asciiTheme="majorHAnsi" w:eastAsiaTheme="majorEastAsia" w:hAnsiTheme="majorHAnsi" w:cstheme="majorBidi"/>
                      <w:sz w:val="20"/>
                    </w:rPr>
                    <w:t xml:space="preserve">four (4) hours </w:t>
                  </w:r>
                  <w:commentRangeEnd w:id="9"/>
                  <w:r w:rsidR="004103C6">
                    <w:rPr>
                      <w:rStyle w:val="CommentReference"/>
                    </w:rPr>
                    <w:commentReference w:id="9"/>
                  </w:r>
                  <w:r w:rsidR="79E015DA" w:rsidRPr="1DF18069">
                    <w:rPr>
                      <w:rFonts w:asciiTheme="majorHAnsi" w:eastAsiaTheme="majorEastAsia" w:hAnsiTheme="majorHAnsi" w:cstheme="majorBidi"/>
                      <w:sz w:val="20"/>
                    </w:rPr>
                    <w:t>upon the discovery of any Adverse Incident that has or could compromise the confidentiality, integrity, or availability of Agencies’ data.</w:t>
                  </w:r>
                </w:p>
                <w:p w14:paraId="100CCDB5" w14:textId="204AA8AD" w:rsidR="619E9BC6" w:rsidRDefault="619E9BC6" w:rsidP="1DF18069">
                  <w:pPr>
                    <w:rPr>
                      <w:rFonts w:asciiTheme="majorHAnsi" w:eastAsiaTheme="majorEastAsia" w:hAnsiTheme="majorHAnsi" w:cstheme="majorBidi"/>
                      <w:sz w:val="20"/>
                    </w:rPr>
                  </w:pP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1358845E" w14:textId="066A9DD9" w:rsidR="619E9BC6"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00752E91" w:rsidRPr="00CB3336" w14:paraId="73CC1591"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11F261A2" w14:textId="6EB96317" w:rsidR="00752E91" w:rsidRDefault="1A04AFDA" w:rsidP="1DF18069">
                  <w:pPr>
                    <w:jc w:val="center"/>
                    <w:rPr>
                      <w:rFonts w:asciiTheme="majorHAnsi" w:eastAsiaTheme="majorEastAsia" w:hAnsiTheme="majorHAnsi" w:cstheme="majorBidi"/>
                      <w:color w:val="000000"/>
                      <w:sz w:val="20"/>
                    </w:rPr>
                  </w:pPr>
                  <w:r w:rsidRPr="1DF18069">
                    <w:rPr>
                      <w:rFonts w:asciiTheme="majorHAnsi" w:eastAsiaTheme="majorEastAsia" w:hAnsiTheme="majorHAnsi" w:cstheme="majorBidi"/>
                      <w:color w:val="000000" w:themeColor="text1"/>
                      <w:sz w:val="20"/>
                    </w:rPr>
                    <w:t>5.2</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1A9843D8" w14:textId="62A9E174" w:rsidR="00752E91" w:rsidRPr="00752E91" w:rsidRDefault="2D7602EE"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Vendor</w:t>
                  </w:r>
                  <w:r w:rsidR="79E015DA" w:rsidRPr="1DF18069">
                    <w:rPr>
                      <w:rFonts w:asciiTheme="majorHAnsi" w:eastAsiaTheme="majorEastAsia" w:hAnsiTheme="majorHAnsi" w:cstheme="majorBidi"/>
                      <w:sz w:val="20"/>
                    </w:rPr>
                    <w:t xml:space="preserve"> agrees to notify the Agency of any Adverse Incident as described in section 5.2 of the SOW </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5E6F6D97" w14:textId="7499ACE9" w:rsidR="00752E91" w:rsidRPr="00D1048F" w:rsidRDefault="006B2B01" w:rsidP="1DF18069">
                  <w:pPr>
                    <w:ind w:left="360"/>
                    <w:jc w:val="center"/>
                    <w:rPr>
                      <w:rFonts w:asciiTheme="majorHAnsi" w:eastAsiaTheme="majorEastAsia" w:hAnsiTheme="majorHAnsi" w:cstheme="majorBidi"/>
                      <w:color w:val="000000"/>
                      <w:sz w:val="20"/>
                    </w:rPr>
                  </w:pPr>
                  <w:r>
                    <w:rPr>
                      <w:rFonts w:asciiTheme="majorHAnsi" w:eastAsiaTheme="majorEastAsia" w:hAnsiTheme="majorHAnsi" w:cstheme="majorBidi"/>
                      <w:color w:val="000000"/>
                      <w:sz w:val="20"/>
                    </w:rPr>
                    <w:t>YES</w:t>
                  </w:r>
                </w:p>
              </w:tc>
            </w:tr>
            <w:tr w:rsidR="74867A2D" w14:paraId="686B1124"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5BFD46EA" w14:textId="3AE5F57F"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5.3</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517F3840" w14:textId="2A3B12AF"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Vendor agrees to the communication, reporting, and investigation requirements related to an Adverse Incident as described in section 5.3 of the SOW</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743A99EB" w14:textId="099A2C8B"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r w:rsidR="74867A2D" w14:paraId="618EE397" w14:textId="77777777" w:rsidTr="3AFA037F">
              <w:trPr>
                <w:gridBefore w:val="1"/>
                <w:wBefore w:w="19" w:type="dxa"/>
                <w:trHeight w:val="720"/>
              </w:trPr>
              <w:tc>
                <w:tcPr>
                  <w:tcW w:w="91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AB00E57" w14:textId="300EC749" w:rsidR="74867A2D" w:rsidRDefault="74867A2D" w:rsidP="1DF18069">
                  <w:pPr>
                    <w:jc w:val="center"/>
                    <w:rPr>
                      <w:rFonts w:asciiTheme="majorHAnsi" w:eastAsiaTheme="majorEastAsia" w:hAnsiTheme="majorHAnsi" w:cstheme="majorBidi"/>
                      <w:color w:val="000000" w:themeColor="text1"/>
                      <w:sz w:val="20"/>
                    </w:rPr>
                  </w:pPr>
                  <w:r w:rsidRPr="1DF18069">
                    <w:rPr>
                      <w:rFonts w:asciiTheme="majorHAnsi" w:eastAsiaTheme="majorEastAsia" w:hAnsiTheme="majorHAnsi" w:cstheme="majorBidi"/>
                      <w:color w:val="000000" w:themeColor="text1"/>
                      <w:sz w:val="20"/>
                    </w:rPr>
                    <w:t>5.4</w:t>
                  </w:r>
                </w:p>
              </w:tc>
              <w:tc>
                <w:tcPr>
                  <w:tcW w:w="6210" w:type="dxa"/>
                  <w:gridSpan w:val="2"/>
                  <w:tcBorders>
                    <w:top w:val="single" w:sz="4" w:space="0" w:color="auto"/>
                    <w:left w:val="nil"/>
                    <w:bottom w:val="single" w:sz="4" w:space="0" w:color="auto"/>
                    <w:right w:val="single" w:sz="4" w:space="0" w:color="auto"/>
                  </w:tcBorders>
                  <w:shd w:val="clear" w:color="auto" w:fill="D9E2F3" w:themeFill="accent1" w:themeFillTint="33"/>
                  <w:vAlign w:val="center"/>
                </w:tcPr>
                <w:p w14:paraId="6E7BC311" w14:textId="4DDE2353" w:rsidR="74867A2D" w:rsidRDefault="74867A2D" w:rsidP="1DF18069">
                  <w:pPr>
                    <w:rPr>
                      <w:rFonts w:asciiTheme="majorHAnsi" w:eastAsiaTheme="majorEastAsia" w:hAnsiTheme="majorHAnsi" w:cstheme="majorBidi"/>
                      <w:sz w:val="20"/>
                    </w:rPr>
                  </w:pPr>
                  <w:r w:rsidRPr="1DF18069">
                    <w:rPr>
                      <w:rFonts w:asciiTheme="majorHAnsi" w:eastAsiaTheme="majorEastAsia" w:hAnsiTheme="majorHAnsi" w:cstheme="majorBidi"/>
                      <w:sz w:val="20"/>
                    </w:rPr>
                    <w:t>Agency’s data shall be maintained by Vendor and sub</w:t>
                  </w:r>
                  <w:r w:rsidR="004A40A4">
                    <w:rPr>
                      <w:rFonts w:asciiTheme="majorHAnsi" w:eastAsiaTheme="majorEastAsia" w:hAnsiTheme="majorHAnsi" w:cstheme="majorBidi"/>
                      <w:sz w:val="20"/>
                    </w:rPr>
                    <w:t>-</w:t>
                  </w:r>
                  <w:r w:rsidRPr="1DF18069">
                    <w:rPr>
                      <w:rFonts w:asciiTheme="majorHAnsi" w:eastAsiaTheme="majorEastAsia" w:hAnsiTheme="majorHAnsi" w:cstheme="majorBidi"/>
                      <w:sz w:val="20"/>
                    </w:rPr>
                    <w:t>vendors in storage facilities located within the continental United States</w:t>
                  </w:r>
                </w:p>
              </w:tc>
              <w:tc>
                <w:tcPr>
                  <w:tcW w:w="1740"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center"/>
                </w:tcPr>
                <w:p w14:paraId="1C292848" w14:textId="1C6E0AAF" w:rsidR="74867A2D" w:rsidRDefault="006B2B01" w:rsidP="1DF18069">
                  <w:pPr>
                    <w:jc w:val="center"/>
                    <w:rPr>
                      <w:rFonts w:asciiTheme="majorHAnsi" w:eastAsiaTheme="majorEastAsia" w:hAnsiTheme="majorHAnsi" w:cstheme="majorBidi"/>
                      <w:color w:val="000000" w:themeColor="text1"/>
                      <w:sz w:val="20"/>
                    </w:rPr>
                  </w:pPr>
                  <w:r>
                    <w:rPr>
                      <w:rFonts w:asciiTheme="majorHAnsi" w:eastAsiaTheme="majorEastAsia" w:hAnsiTheme="majorHAnsi" w:cstheme="majorBidi"/>
                      <w:color w:val="000000" w:themeColor="text1"/>
                      <w:sz w:val="20"/>
                    </w:rPr>
                    <w:t>YES</w:t>
                  </w:r>
                </w:p>
              </w:tc>
            </w:tr>
          </w:tbl>
          <w:p w14:paraId="14BF71A8" w14:textId="5F8A6898" w:rsidR="0B654A1F" w:rsidRDefault="0B654A1F" w:rsidP="3184F79F">
            <w:pPr>
              <w:rPr>
                <w:rFonts w:asciiTheme="majorHAnsi" w:eastAsiaTheme="majorEastAsia" w:hAnsiTheme="majorHAnsi" w:cstheme="majorBidi"/>
              </w:rPr>
            </w:pPr>
          </w:p>
          <w:p w14:paraId="2F90E7E0" w14:textId="6B82DF55" w:rsidR="0B654A1F" w:rsidRDefault="0B654A1F" w:rsidP="3184F79F">
            <w:pPr>
              <w:rPr>
                <w:rFonts w:asciiTheme="majorHAnsi" w:eastAsiaTheme="majorEastAsia" w:hAnsiTheme="majorHAnsi" w:cstheme="majorBidi"/>
              </w:rPr>
            </w:pPr>
          </w:p>
          <w:p w14:paraId="592EA32F" w14:textId="77777777" w:rsidR="0090025C" w:rsidRPr="00CB3336" w:rsidRDefault="0090025C" w:rsidP="3184F79F">
            <w:pPr>
              <w:rPr>
                <w:rFonts w:asciiTheme="majorHAnsi" w:eastAsiaTheme="majorEastAsia" w:hAnsiTheme="majorHAnsi" w:cstheme="majorBidi"/>
                <w:color w:val="000000"/>
                <w:sz w:val="18"/>
                <w:szCs w:val="18"/>
              </w:rPr>
            </w:pPr>
          </w:p>
        </w:tc>
      </w:tr>
    </w:tbl>
    <w:p w14:paraId="2A73A58D" w14:textId="77777777" w:rsidR="0090025C" w:rsidRDefault="0090025C" w:rsidP="00D1048F"/>
    <w:sectPr w:rsidR="0090025C">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Norman, Bonnie J" w:date="2022-12-09T10:11:00Z" w:initials="NBJ">
    <w:p w14:paraId="364A40F3" w14:textId="33B5946D" w:rsidR="001C1AC4" w:rsidRDefault="001C1AC4">
      <w:pPr>
        <w:pStyle w:val="CommentText"/>
      </w:pPr>
      <w:r>
        <w:rPr>
          <w:rStyle w:val="CommentReference"/>
        </w:rPr>
        <w:annotationRef/>
      </w:r>
      <w:r>
        <w:t>Provide contract redlines to NoCheck to determine if they will submit or not</w:t>
      </w:r>
    </w:p>
  </w:comment>
  <w:comment w:id="2" w:author="Vickery, Tyler P" w:date="2022-12-13T14:24:00Z" w:initials="VTP">
    <w:p w14:paraId="5CD39501" w14:textId="79074B78" w:rsidR="00D34C88" w:rsidRDefault="00D34C88">
      <w:pPr>
        <w:pStyle w:val="CommentText"/>
      </w:pPr>
      <w:r>
        <w:rPr>
          <w:rStyle w:val="CommentReference"/>
        </w:rPr>
        <w:annotationRef/>
      </w:r>
      <w:r>
        <w:t xml:space="preserve">Need info from </w:t>
      </w:r>
      <w:proofErr w:type="spellStart"/>
      <w:r>
        <w:t>Nocheck</w:t>
      </w:r>
      <w:proofErr w:type="spellEnd"/>
      <w:r>
        <w:t xml:space="preserve"> on how they move the funds</w:t>
      </w:r>
    </w:p>
  </w:comment>
  <w:comment w:id="4" w:author="Norman, Bonnie J" w:date="2022-12-09T12:37:00Z" w:initials="NBJ">
    <w:p w14:paraId="1686E68C" w14:textId="77777777" w:rsidR="00FD0CB4" w:rsidRDefault="00FD0CB4">
      <w:pPr>
        <w:pStyle w:val="CommentText"/>
      </w:pPr>
      <w:r>
        <w:rPr>
          <w:rStyle w:val="CommentReference"/>
        </w:rPr>
        <w:annotationRef/>
      </w:r>
      <w:r>
        <w:t>Per the RFP, I recommend duplicating the exec summary here</w:t>
      </w:r>
    </w:p>
    <w:p w14:paraId="119B0508" w14:textId="2DE0AD25" w:rsidR="00FD0CB4" w:rsidRDefault="00FD0CB4">
      <w:pPr>
        <w:pStyle w:val="CommentText"/>
      </w:pPr>
      <w:r>
        <w:t>“</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Pr>
          <w:rFonts w:asciiTheme="minorHAnsi" w:hAnsiTheme="minorHAnsi" w:cstheme="minorHAnsi"/>
          <w:szCs w:val="24"/>
        </w:rPr>
        <w:t>T</w:t>
      </w:r>
      <w:r w:rsidRPr="006B1296">
        <w:rPr>
          <w:rFonts w:asciiTheme="minorHAnsi" w:hAnsiTheme="minorHAnsi" w:cstheme="minorHAnsi"/>
          <w:szCs w:val="24"/>
        </w:rPr>
        <w:t xml:space="preserve">echnical </w:t>
      </w:r>
      <w:r>
        <w:rPr>
          <w:rFonts w:asciiTheme="minorHAnsi" w:hAnsiTheme="minorHAnsi" w:cstheme="minorHAnsi"/>
          <w:szCs w:val="24"/>
        </w:rPr>
        <w:t>P</w:t>
      </w:r>
      <w:r w:rsidRPr="006B1296">
        <w:rPr>
          <w:rFonts w:asciiTheme="minorHAnsi" w:hAnsiTheme="minorHAnsi" w:cstheme="minorHAnsi"/>
          <w:szCs w:val="24"/>
        </w:rPr>
        <w:t>roposal must contain a meaningful summary of the referenced material.</w:t>
      </w:r>
      <w:r>
        <w:rPr>
          <w:rFonts w:asciiTheme="minorHAnsi" w:hAnsiTheme="minorHAnsi" w:cstheme="minorHAnsi"/>
          <w:szCs w:val="24"/>
        </w:rPr>
        <w:t>”</w:t>
      </w:r>
    </w:p>
  </w:comment>
  <w:comment w:id="5" w:author="Vickery, Tyler P" w:date="2022-12-13T14:25:00Z" w:initials="VTP">
    <w:p w14:paraId="147F654C" w14:textId="33CE5F53" w:rsidR="00C90A52" w:rsidRDefault="00C90A52">
      <w:pPr>
        <w:pStyle w:val="CommentText"/>
      </w:pPr>
      <w:r>
        <w:rPr>
          <w:rStyle w:val="CommentReference"/>
        </w:rPr>
        <w:annotationRef/>
      </w:r>
      <w:r>
        <w:t>Would this be through U.S. Bank?</w:t>
      </w:r>
    </w:p>
  </w:comment>
  <w:comment w:id="6" w:author="Norman, Bonnie J" w:date="2022-12-13T16:11:00Z" w:initials="NBJ">
    <w:p w14:paraId="5E9BD51B" w14:textId="31FBCE29" w:rsidR="00362A81" w:rsidRDefault="00362A81">
      <w:pPr>
        <w:pStyle w:val="CommentText"/>
      </w:pPr>
      <w:r>
        <w:rPr>
          <w:rStyle w:val="CommentReference"/>
        </w:rPr>
        <w:annotationRef/>
      </w:r>
      <w:r w:rsidR="002A0407">
        <w:t xml:space="preserve">This was proposed for IL. Is this true for IN? </w:t>
      </w:r>
    </w:p>
  </w:comment>
  <w:comment w:id="8" w:author="Norman, Bonnie J" w:date="2022-12-09T14:23:00Z" w:initials="NBJ">
    <w:p w14:paraId="400314FF" w14:textId="1EC94E05" w:rsidR="00BC4BEE" w:rsidRDefault="00BC4BEE">
      <w:pPr>
        <w:pStyle w:val="CommentText"/>
      </w:pPr>
      <w:r>
        <w:rPr>
          <w:rStyle w:val="CommentReference"/>
        </w:rPr>
        <w:annotationRef/>
      </w:r>
      <w:r>
        <w:t>Do</w:t>
      </w:r>
      <w:r w:rsidR="00047538">
        <w:t>es</w:t>
      </w:r>
      <w:r>
        <w:t xml:space="preserve"> </w:t>
      </w:r>
      <w:r w:rsidR="00047538">
        <w:t>NoCheck</w:t>
      </w:r>
      <w:r>
        <w:t xml:space="preserve"> want to include anything on monitoring ACH success/failure reports? </w:t>
      </w:r>
    </w:p>
  </w:comment>
  <w:comment w:id="9" w:author="Norman, Bonnie J" w:date="2022-12-13T16:16:00Z" w:initials="NBJ">
    <w:p w14:paraId="05449DBB" w14:textId="7C85E5A7" w:rsidR="004103C6" w:rsidRDefault="0026365C">
      <w:pPr>
        <w:pStyle w:val="CommentText"/>
      </w:pPr>
      <w:r>
        <w:t xml:space="preserve">From a U.S. Bank standpoint we would change to </w:t>
      </w:r>
      <w:r w:rsidR="004103C6">
        <w:rPr>
          <w:rStyle w:val="CommentReference"/>
        </w:rPr>
        <w:annotationRef/>
      </w:r>
      <w:r>
        <w:t>“p</w:t>
      </w:r>
      <w:r w:rsidR="004103C6">
        <w:t>romptly</w:t>
      </w:r>
      <w:r>
        <w:t>”</w:t>
      </w:r>
      <w:r w:rsidR="004103C6">
        <w:t xml:space="preserve"> – we can’t agree to 4 hours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4A40F3" w15:done="0"/>
  <w15:commentEx w15:paraId="5CD39501" w15:done="0"/>
  <w15:commentEx w15:paraId="119B0508" w15:done="0"/>
  <w15:commentEx w15:paraId="147F654C" w15:done="0"/>
  <w15:commentEx w15:paraId="5E9BD51B" w15:done="0"/>
  <w15:commentEx w15:paraId="400314FF" w15:done="0"/>
  <w15:commentEx w15:paraId="05449D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D8863" w16cex:dateUtc="2022-12-09T16:11:00Z"/>
  <w16cex:commentExtensible w16cex:durableId="274309AF" w16cex:dateUtc="2022-12-13T19:24:00Z"/>
  <w16cex:commentExtensible w16cex:durableId="273DAA70" w16cex:dateUtc="2022-12-09T18:37:00Z"/>
  <w16cex:commentExtensible w16cex:durableId="274309D0" w16cex:dateUtc="2022-12-13T19:25:00Z"/>
  <w16cex:commentExtensible w16cex:durableId="274322C8" w16cex:dateUtc="2022-12-13T22:11:00Z"/>
  <w16cex:commentExtensible w16cex:durableId="273DC373" w16cex:dateUtc="2022-12-09T20:23:00Z"/>
  <w16cex:commentExtensible w16cex:durableId="274323C5" w16cex:dateUtc="2022-12-13T2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4A40F3" w16cid:durableId="273D8863"/>
  <w16cid:commentId w16cid:paraId="5CD39501" w16cid:durableId="274309AF"/>
  <w16cid:commentId w16cid:paraId="119B0508" w16cid:durableId="273DAA70"/>
  <w16cid:commentId w16cid:paraId="147F654C" w16cid:durableId="274309D0"/>
  <w16cid:commentId w16cid:paraId="5E9BD51B" w16cid:durableId="274322C8"/>
  <w16cid:commentId w16cid:paraId="400314FF" w16cid:durableId="273DC373"/>
  <w16cid:commentId w16cid:paraId="05449DBB" w16cid:durableId="274323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30058" w14:textId="77777777" w:rsidR="00C46F6D" w:rsidRDefault="00C46F6D">
      <w:r>
        <w:separator/>
      </w:r>
    </w:p>
  </w:endnote>
  <w:endnote w:type="continuationSeparator" w:id="0">
    <w:p w14:paraId="6D5B3E03" w14:textId="77777777" w:rsidR="00C46F6D" w:rsidRDefault="00C46F6D">
      <w:r>
        <w:continuationSeparator/>
      </w:r>
    </w:p>
  </w:endnote>
  <w:endnote w:type="continuationNotice" w:id="1">
    <w:p w14:paraId="65B66F30" w14:textId="77777777" w:rsidR="00C46F6D" w:rsidRDefault="00C46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4490249"/>
      <w:docPartObj>
        <w:docPartGallery w:val="Page Numbers (Bottom of Page)"/>
        <w:docPartUnique/>
      </w:docPartObj>
    </w:sdtPr>
    <w:sdtEndPr>
      <w:rPr>
        <w:noProof/>
      </w:rPr>
    </w:sdtEndPr>
    <w:sdtContent>
      <w:p w14:paraId="2EE5092D" w14:textId="0E5BC18C" w:rsidR="004D56E6" w:rsidRDefault="004D56E6">
        <w:pPr>
          <w:pStyle w:val="Footer"/>
          <w:jc w:val="center"/>
        </w:pPr>
        <w:r>
          <w:fldChar w:fldCharType="begin"/>
        </w:r>
        <w:r>
          <w:instrText xml:space="preserve"> PAGE   \* MERGEFORMAT </w:instrText>
        </w:r>
        <w:r>
          <w:fldChar w:fldCharType="separate"/>
        </w:r>
        <w:r w:rsidR="00D82060">
          <w:rPr>
            <w:noProof/>
          </w:rPr>
          <w:t>1</w:t>
        </w:r>
        <w:r>
          <w:rPr>
            <w:noProof/>
          </w:rPr>
          <w:fldChar w:fldCharType="end"/>
        </w:r>
      </w:p>
    </w:sdtContent>
  </w:sdt>
  <w:p w14:paraId="329411B0" w14:textId="77777777" w:rsidR="004D56E6" w:rsidRDefault="004D56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B012C" w14:textId="77777777" w:rsidR="00C46F6D" w:rsidRDefault="00C46F6D">
      <w:r>
        <w:separator/>
      </w:r>
    </w:p>
  </w:footnote>
  <w:footnote w:type="continuationSeparator" w:id="0">
    <w:p w14:paraId="2AEC328E" w14:textId="77777777" w:rsidR="00C46F6D" w:rsidRDefault="00C46F6D">
      <w:r>
        <w:continuationSeparator/>
      </w:r>
    </w:p>
  </w:footnote>
  <w:footnote w:type="continuationNotice" w:id="1">
    <w:p w14:paraId="6833F85F" w14:textId="77777777" w:rsidR="00C46F6D" w:rsidRDefault="00C46F6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31A7868"/>
    <w:multiLevelType w:val="hybridMultilevel"/>
    <w:tmpl w:val="24E24C0E"/>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25B71480"/>
    <w:multiLevelType w:val="hybridMultilevel"/>
    <w:tmpl w:val="737E0514"/>
    <w:lvl w:ilvl="0" w:tplc="2A3A4ADA">
      <w:start w:val="1"/>
      <w:numFmt w:val="decimal"/>
      <w:lvlText w:val="%1)"/>
      <w:lvlJc w:val="left"/>
      <w:pPr>
        <w:ind w:left="720" w:hanging="360"/>
      </w:pPr>
    </w:lvl>
    <w:lvl w:ilvl="1" w:tplc="093CBB26">
      <w:start w:val="1"/>
      <w:numFmt w:val="lowerLetter"/>
      <w:lvlText w:val="%2."/>
      <w:lvlJc w:val="left"/>
      <w:pPr>
        <w:ind w:left="1440" w:hanging="360"/>
      </w:pPr>
    </w:lvl>
    <w:lvl w:ilvl="2" w:tplc="1166BDEE">
      <w:start w:val="1"/>
      <w:numFmt w:val="lowerRoman"/>
      <w:lvlText w:val="%3."/>
      <w:lvlJc w:val="right"/>
      <w:pPr>
        <w:ind w:left="2160" w:hanging="180"/>
      </w:pPr>
    </w:lvl>
    <w:lvl w:ilvl="3" w:tplc="E48C55A4">
      <w:start w:val="1"/>
      <w:numFmt w:val="decimal"/>
      <w:lvlText w:val="%4."/>
      <w:lvlJc w:val="left"/>
      <w:pPr>
        <w:ind w:left="2880" w:hanging="360"/>
      </w:pPr>
    </w:lvl>
    <w:lvl w:ilvl="4" w:tplc="FF8E7EA6">
      <w:start w:val="1"/>
      <w:numFmt w:val="lowerLetter"/>
      <w:lvlText w:val="%5."/>
      <w:lvlJc w:val="left"/>
      <w:pPr>
        <w:ind w:left="3600" w:hanging="360"/>
      </w:pPr>
    </w:lvl>
    <w:lvl w:ilvl="5" w:tplc="3F10A33A">
      <w:start w:val="1"/>
      <w:numFmt w:val="lowerRoman"/>
      <w:lvlText w:val="%6."/>
      <w:lvlJc w:val="right"/>
      <w:pPr>
        <w:ind w:left="4320" w:hanging="180"/>
      </w:pPr>
    </w:lvl>
    <w:lvl w:ilvl="6" w:tplc="8BA6D686">
      <w:start w:val="1"/>
      <w:numFmt w:val="decimal"/>
      <w:lvlText w:val="%7."/>
      <w:lvlJc w:val="left"/>
      <w:pPr>
        <w:ind w:left="5040" w:hanging="360"/>
      </w:pPr>
    </w:lvl>
    <w:lvl w:ilvl="7" w:tplc="5776A9EC">
      <w:start w:val="1"/>
      <w:numFmt w:val="lowerLetter"/>
      <w:lvlText w:val="%8."/>
      <w:lvlJc w:val="left"/>
      <w:pPr>
        <w:ind w:left="5760" w:hanging="360"/>
      </w:pPr>
    </w:lvl>
    <w:lvl w:ilvl="8" w:tplc="52A26D26">
      <w:start w:val="1"/>
      <w:numFmt w:val="lowerRoman"/>
      <w:lvlText w:val="%9."/>
      <w:lvlJc w:val="right"/>
      <w:pPr>
        <w:ind w:left="6480" w:hanging="180"/>
      </w:pPr>
    </w:lvl>
  </w:abstractNum>
  <w:abstractNum w:abstractNumId="3">
    <w:nsid w:val="2E8C6844"/>
    <w:multiLevelType w:val="hybridMultilevel"/>
    <w:tmpl w:val="8AFA2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5E644B"/>
    <w:multiLevelType w:val="hybridMultilevel"/>
    <w:tmpl w:val="9FC4CC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4373866"/>
    <w:multiLevelType w:val="hybridMultilevel"/>
    <w:tmpl w:val="A418D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F033E03"/>
    <w:multiLevelType w:val="hybridMultilevel"/>
    <w:tmpl w:val="C5945F62"/>
    <w:lvl w:ilvl="0" w:tplc="4B7AFF74">
      <w:numFmt w:val="bullet"/>
      <w:lvlText w:val="•"/>
      <w:lvlJc w:val="left"/>
      <w:pPr>
        <w:ind w:left="1080" w:hanging="72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934E3A"/>
    <w:multiLevelType w:val="hybridMultilevel"/>
    <w:tmpl w:val="905EF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841452"/>
    <w:multiLevelType w:val="hybridMultilevel"/>
    <w:tmpl w:val="9BE4F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3"/>
  </w:num>
  <w:num w:numId="6">
    <w:abstractNumId w:val="9"/>
  </w:num>
  <w:num w:numId="7">
    <w:abstractNumId w:val="4"/>
  </w:num>
  <w:num w:numId="8">
    <w:abstractNumId w:val="0"/>
  </w:num>
  <w:num w:numId="9">
    <w:abstractNumId w:val="10"/>
  </w:num>
  <w:num w:numId="10">
    <w:abstractNumId w:val="8"/>
  </w:num>
  <w:num w:numId="11">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rman, Bonnie J">
    <w15:presenceInfo w15:providerId="AD" w15:userId="S::bonnie.norman@usbank.com::76242160-285e-4e9d-98fa-048255ab7916"/>
  </w15:person>
  <w15:person w15:author="Vickery, Tyler P">
    <w15:presenceInfo w15:providerId="AD" w15:userId="S::Tyler.Vickery@usbank.com::7d2f4670-0b57-4239-866b-e152306c0a12"/>
  </w15:person>
  <w15:person w15:author="Benjamin Sanders">
    <w15:presenceInfo w15:providerId="AD" w15:userId="S-1-5-21-3717565486-3948007484-1927588290-1635"/>
  </w15:person>
  <w15:person w15:author="Homer, James A">
    <w15:presenceInfo w15:providerId="AD" w15:userId="S::james.homer@usbank.com::46b1885e-c6bb-4d40-97e9-14b08c50aa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1A1"/>
    <w:rsid w:val="00047538"/>
    <w:rsid w:val="0006497E"/>
    <w:rsid w:val="00064C04"/>
    <w:rsid w:val="00083E9A"/>
    <w:rsid w:val="000E0989"/>
    <w:rsid w:val="000E14C1"/>
    <w:rsid w:val="000E78EB"/>
    <w:rsid w:val="000F37CC"/>
    <w:rsid w:val="000F6C8D"/>
    <w:rsid w:val="000FDCD7"/>
    <w:rsid w:val="00100498"/>
    <w:rsid w:val="0012539D"/>
    <w:rsid w:val="00126B7A"/>
    <w:rsid w:val="00133C6B"/>
    <w:rsid w:val="00162335"/>
    <w:rsid w:val="0016656D"/>
    <w:rsid w:val="001672F8"/>
    <w:rsid w:val="001731B2"/>
    <w:rsid w:val="00173CF1"/>
    <w:rsid w:val="00174563"/>
    <w:rsid w:val="00196B0F"/>
    <w:rsid w:val="001A2C4F"/>
    <w:rsid w:val="001B1390"/>
    <w:rsid w:val="001B411E"/>
    <w:rsid w:val="001B5739"/>
    <w:rsid w:val="001C1AC4"/>
    <w:rsid w:val="001C53A3"/>
    <w:rsid w:val="001D13CD"/>
    <w:rsid w:val="001D7106"/>
    <w:rsid w:val="001E48B3"/>
    <w:rsid w:val="001E723F"/>
    <w:rsid w:val="001F0E03"/>
    <w:rsid w:val="00201329"/>
    <w:rsid w:val="00202B63"/>
    <w:rsid w:val="002142A7"/>
    <w:rsid w:val="00260BE7"/>
    <w:rsid w:val="0026365C"/>
    <w:rsid w:val="002825F0"/>
    <w:rsid w:val="00287678"/>
    <w:rsid w:val="002A0407"/>
    <w:rsid w:val="002C71A7"/>
    <w:rsid w:val="002E1589"/>
    <w:rsid w:val="00304375"/>
    <w:rsid w:val="003044BE"/>
    <w:rsid w:val="003153CF"/>
    <w:rsid w:val="00341E7B"/>
    <w:rsid w:val="00343269"/>
    <w:rsid w:val="00346759"/>
    <w:rsid w:val="00352C75"/>
    <w:rsid w:val="0036047B"/>
    <w:rsid w:val="00362A81"/>
    <w:rsid w:val="003A69EE"/>
    <w:rsid w:val="003B306A"/>
    <w:rsid w:val="003C3937"/>
    <w:rsid w:val="003F6815"/>
    <w:rsid w:val="00401342"/>
    <w:rsid w:val="004103C6"/>
    <w:rsid w:val="00411DBE"/>
    <w:rsid w:val="0043292A"/>
    <w:rsid w:val="00456429"/>
    <w:rsid w:val="00464111"/>
    <w:rsid w:val="00480E7A"/>
    <w:rsid w:val="004A3403"/>
    <w:rsid w:val="004A40A4"/>
    <w:rsid w:val="004B2251"/>
    <w:rsid w:val="004D56E6"/>
    <w:rsid w:val="004F1DC5"/>
    <w:rsid w:val="0050705A"/>
    <w:rsid w:val="00515A86"/>
    <w:rsid w:val="00521A13"/>
    <w:rsid w:val="00521B6F"/>
    <w:rsid w:val="005354FC"/>
    <w:rsid w:val="00540874"/>
    <w:rsid w:val="00541830"/>
    <w:rsid w:val="00556C5B"/>
    <w:rsid w:val="0056695C"/>
    <w:rsid w:val="00570384"/>
    <w:rsid w:val="00573BA3"/>
    <w:rsid w:val="005D2C4E"/>
    <w:rsid w:val="005D7056"/>
    <w:rsid w:val="005E05EC"/>
    <w:rsid w:val="00620670"/>
    <w:rsid w:val="006275A7"/>
    <w:rsid w:val="00646744"/>
    <w:rsid w:val="006539DF"/>
    <w:rsid w:val="00691D1F"/>
    <w:rsid w:val="006B2B01"/>
    <w:rsid w:val="006C3323"/>
    <w:rsid w:val="006E2A4B"/>
    <w:rsid w:val="006F2822"/>
    <w:rsid w:val="00703957"/>
    <w:rsid w:val="00703D8F"/>
    <w:rsid w:val="00725277"/>
    <w:rsid w:val="00750628"/>
    <w:rsid w:val="00752E91"/>
    <w:rsid w:val="00761E27"/>
    <w:rsid w:val="00762F79"/>
    <w:rsid w:val="0077614B"/>
    <w:rsid w:val="00780F9E"/>
    <w:rsid w:val="007A4997"/>
    <w:rsid w:val="008019F8"/>
    <w:rsid w:val="00812FD1"/>
    <w:rsid w:val="00846586"/>
    <w:rsid w:val="00853F57"/>
    <w:rsid w:val="00874D21"/>
    <w:rsid w:val="00875C9B"/>
    <w:rsid w:val="0088277E"/>
    <w:rsid w:val="00883E60"/>
    <w:rsid w:val="008D79ED"/>
    <w:rsid w:val="0090025C"/>
    <w:rsid w:val="009246BC"/>
    <w:rsid w:val="0093367E"/>
    <w:rsid w:val="00933CAE"/>
    <w:rsid w:val="0094060B"/>
    <w:rsid w:val="0094260C"/>
    <w:rsid w:val="00944EAF"/>
    <w:rsid w:val="009866F4"/>
    <w:rsid w:val="009A1231"/>
    <w:rsid w:val="009A3D7D"/>
    <w:rsid w:val="009A4ECE"/>
    <w:rsid w:val="009A68EF"/>
    <w:rsid w:val="009B70D6"/>
    <w:rsid w:val="009C0C4D"/>
    <w:rsid w:val="009E5DAE"/>
    <w:rsid w:val="009F4319"/>
    <w:rsid w:val="00A41FBB"/>
    <w:rsid w:val="00A53376"/>
    <w:rsid w:val="00A677FA"/>
    <w:rsid w:val="00A82A0B"/>
    <w:rsid w:val="00A834C9"/>
    <w:rsid w:val="00A96543"/>
    <w:rsid w:val="00AD5F1C"/>
    <w:rsid w:val="00AE143A"/>
    <w:rsid w:val="00B05F73"/>
    <w:rsid w:val="00B2360E"/>
    <w:rsid w:val="00B322CA"/>
    <w:rsid w:val="00B4154C"/>
    <w:rsid w:val="00B47F37"/>
    <w:rsid w:val="00B7663F"/>
    <w:rsid w:val="00B85D4E"/>
    <w:rsid w:val="00B901A1"/>
    <w:rsid w:val="00BB0C83"/>
    <w:rsid w:val="00BB12D0"/>
    <w:rsid w:val="00BC4BEE"/>
    <w:rsid w:val="00BD1ECB"/>
    <w:rsid w:val="00BD2355"/>
    <w:rsid w:val="00BD3E6F"/>
    <w:rsid w:val="00BE344F"/>
    <w:rsid w:val="00BE37C9"/>
    <w:rsid w:val="00C12E57"/>
    <w:rsid w:val="00C41000"/>
    <w:rsid w:val="00C46EF7"/>
    <w:rsid w:val="00C46F6D"/>
    <w:rsid w:val="00C526EF"/>
    <w:rsid w:val="00C74FE6"/>
    <w:rsid w:val="00C90A52"/>
    <w:rsid w:val="00CB1500"/>
    <w:rsid w:val="00CB2D65"/>
    <w:rsid w:val="00CE2413"/>
    <w:rsid w:val="00CF2A6E"/>
    <w:rsid w:val="00CF2ABC"/>
    <w:rsid w:val="00CF563B"/>
    <w:rsid w:val="00D1048F"/>
    <w:rsid w:val="00D1596F"/>
    <w:rsid w:val="00D2057B"/>
    <w:rsid w:val="00D34C88"/>
    <w:rsid w:val="00D43D57"/>
    <w:rsid w:val="00D51D6B"/>
    <w:rsid w:val="00D82060"/>
    <w:rsid w:val="00D9074C"/>
    <w:rsid w:val="00DA661D"/>
    <w:rsid w:val="00DB24CB"/>
    <w:rsid w:val="00DB5067"/>
    <w:rsid w:val="00DE1AA2"/>
    <w:rsid w:val="00DE6B6A"/>
    <w:rsid w:val="00DF09C2"/>
    <w:rsid w:val="00DF70F2"/>
    <w:rsid w:val="00E05C62"/>
    <w:rsid w:val="00E16D65"/>
    <w:rsid w:val="00E208B0"/>
    <w:rsid w:val="00E412B5"/>
    <w:rsid w:val="00E509F0"/>
    <w:rsid w:val="00EB35BA"/>
    <w:rsid w:val="00EB68D2"/>
    <w:rsid w:val="00EC261B"/>
    <w:rsid w:val="00F02C74"/>
    <w:rsid w:val="00F1156A"/>
    <w:rsid w:val="00F26142"/>
    <w:rsid w:val="00F52A88"/>
    <w:rsid w:val="00F672B5"/>
    <w:rsid w:val="00F728C9"/>
    <w:rsid w:val="00F7360A"/>
    <w:rsid w:val="00F74E73"/>
    <w:rsid w:val="00F94DCA"/>
    <w:rsid w:val="00FA389F"/>
    <w:rsid w:val="00FC610F"/>
    <w:rsid w:val="00FC6B2D"/>
    <w:rsid w:val="00FD0CB4"/>
    <w:rsid w:val="00FD40C0"/>
    <w:rsid w:val="00FD41FB"/>
    <w:rsid w:val="02503FE4"/>
    <w:rsid w:val="0276055B"/>
    <w:rsid w:val="02B3A9F7"/>
    <w:rsid w:val="04EE79C9"/>
    <w:rsid w:val="05E6D355"/>
    <w:rsid w:val="0837160E"/>
    <w:rsid w:val="09A69ECD"/>
    <w:rsid w:val="09C7E346"/>
    <w:rsid w:val="0AACF584"/>
    <w:rsid w:val="0B1B81BD"/>
    <w:rsid w:val="0B654A1F"/>
    <w:rsid w:val="0C52B1C0"/>
    <w:rsid w:val="0D7545AA"/>
    <w:rsid w:val="0DEE8221"/>
    <w:rsid w:val="0EB4CFE2"/>
    <w:rsid w:val="0F0B1CDC"/>
    <w:rsid w:val="0F11160B"/>
    <w:rsid w:val="0F8EF39C"/>
    <w:rsid w:val="106CF9B9"/>
    <w:rsid w:val="11281A8A"/>
    <w:rsid w:val="11A05210"/>
    <w:rsid w:val="11D4A95B"/>
    <w:rsid w:val="1386A805"/>
    <w:rsid w:val="14EA1D79"/>
    <w:rsid w:val="159B2F2E"/>
    <w:rsid w:val="15F0AA61"/>
    <w:rsid w:val="171AE478"/>
    <w:rsid w:val="177B8190"/>
    <w:rsid w:val="177FD316"/>
    <w:rsid w:val="18262BF9"/>
    <w:rsid w:val="1893680D"/>
    <w:rsid w:val="18DABD76"/>
    <w:rsid w:val="18E5B1E2"/>
    <w:rsid w:val="1A04AFDA"/>
    <w:rsid w:val="1AA74993"/>
    <w:rsid w:val="1B626344"/>
    <w:rsid w:val="1BA85E75"/>
    <w:rsid w:val="1CAC0158"/>
    <w:rsid w:val="1DF18069"/>
    <w:rsid w:val="1E47D1B9"/>
    <w:rsid w:val="1FACB39D"/>
    <w:rsid w:val="202268E5"/>
    <w:rsid w:val="20DB7A58"/>
    <w:rsid w:val="21D31944"/>
    <w:rsid w:val="228617A6"/>
    <w:rsid w:val="23B8FB47"/>
    <w:rsid w:val="23E55DE7"/>
    <w:rsid w:val="246A8715"/>
    <w:rsid w:val="255E4A08"/>
    <w:rsid w:val="25E578CC"/>
    <w:rsid w:val="26065776"/>
    <w:rsid w:val="2895EACA"/>
    <w:rsid w:val="28D77AB6"/>
    <w:rsid w:val="29B1B003"/>
    <w:rsid w:val="29E4A433"/>
    <w:rsid w:val="2AB4DF55"/>
    <w:rsid w:val="2BA5EE33"/>
    <w:rsid w:val="2C13D18F"/>
    <w:rsid w:val="2C19A64F"/>
    <w:rsid w:val="2CCF4FF3"/>
    <w:rsid w:val="2D03DDC2"/>
    <w:rsid w:val="2D7602EE"/>
    <w:rsid w:val="2EB81556"/>
    <w:rsid w:val="2EEBDDB3"/>
    <w:rsid w:val="2F0F1A68"/>
    <w:rsid w:val="30CF5F46"/>
    <w:rsid w:val="3184F79F"/>
    <w:rsid w:val="34056ADF"/>
    <w:rsid w:val="34889865"/>
    <w:rsid w:val="34DDBE58"/>
    <w:rsid w:val="371E0C50"/>
    <w:rsid w:val="37AC7F2A"/>
    <w:rsid w:val="37C871DF"/>
    <w:rsid w:val="3931A4AC"/>
    <w:rsid w:val="3A254801"/>
    <w:rsid w:val="3AFA037F"/>
    <w:rsid w:val="3D577A63"/>
    <w:rsid w:val="3E3DF2FB"/>
    <w:rsid w:val="3EFCA080"/>
    <w:rsid w:val="3F9E68B2"/>
    <w:rsid w:val="3FC6D3A8"/>
    <w:rsid w:val="403859F1"/>
    <w:rsid w:val="42FF611C"/>
    <w:rsid w:val="432BD5E0"/>
    <w:rsid w:val="454B2C71"/>
    <w:rsid w:val="469CA548"/>
    <w:rsid w:val="47222AE3"/>
    <w:rsid w:val="4808EA19"/>
    <w:rsid w:val="483875A9"/>
    <w:rsid w:val="4A1CD50E"/>
    <w:rsid w:val="4A930DEB"/>
    <w:rsid w:val="4B656AC3"/>
    <w:rsid w:val="4DB70AC9"/>
    <w:rsid w:val="4F0710AE"/>
    <w:rsid w:val="4FAC0340"/>
    <w:rsid w:val="4FBEF780"/>
    <w:rsid w:val="51A03083"/>
    <w:rsid w:val="51F8FAAB"/>
    <w:rsid w:val="5239E94D"/>
    <w:rsid w:val="524E8AD4"/>
    <w:rsid w:val="548AF37A"/>
    <w:rsid w:val="54DB3C2A"/>
    <w:rsid w:val="558F7A8F"/>
    <w:rsid w:val="55E18908"/>
    <w:rsid w:val="56C98385"/>
    <w:rsid w:val="5708D39A"/>
    <w:rsid w:val="57B0E108"/>
    <w:rsid w:val="581AEC58"/>
    <w:rsid w:val="591E7F5B"/>
    <w:rsid w:val="59689DC6"/>
    <w:rsid w:val="5A5F6100"/>
    <w:rsid w:val="5AC18F19"/>
    <w:rsid w:val="5AEBB5B3"/>
    <w:rsid w:val="5C4CEF9C"/>
    <w:rsid w:val="5CC2FD11"/>
    <w:rsid w:val="60035D23"/>
    <w:rsid w:val="6010F76B"/>
    <w:rsid w:val="61583D0E"/>
    <w:rsid w:val="619E9BC6"/>
    <w:rsid w:val="6348982D"/>
    <w:rsid w:val="63E82D5C"/>
    <w:rsid w:val="63EDE5D1"/>
    <w:rsid w:val="64E4688E"/>
    <w:rsid w:val="6596A906"/>
    <w:rsid w:val="65D732B6"/>
    <w:rsid w:val="663321F7"/>
    <w:rsid w:val="669C31BF"/>
    <w:rsid w:val="66C96F4E"/>
    <w:rsid w:val="67E33F57"/>
    <w:rsid w:val="6861D1E3"/>
    <w:rsid w:val="68E547C9"/>
    <w:rsid w:val="69CDC8AB"/>
    <w:rsid w:val="6A9BBF8F"/>
    <w:rsid w:val="6B5A9ECD"/>
    <w:rsid w:val="6CA73B10"/>
    <w:rsid w:val="6F56DC1D"/>
    <w:rsid w:val="6FFD5087"/>
    <w:rsid w:val="70A25C4A"/>
    <w:rsid w:val="70CA1CD7"/>
    <w:rsid w:val="7107242B"/>
    <w:rsid w:val="71295BA6"/>
    <w:rsid w:val="722F09E1"/>
    <w:rsid w:val="7248DE31"/>
    <w:rsid w:val="72A2F48C"/>
    <w:rsid w:val="72C547F8"/>
    <w:rsid w:val="733C44A1"/>
    <w:rsid w:val="73B4008D"/>
    <w:rsid w:val="74867A2D"/>
    <w:rsid w:val="74936871"/>
    <w:rsid w:val="749FCBCF"/>
    <w:rsid w:val="74E06C2B"/>
    <w:rsid w:val="76224A8E"/>
    <w:rsid w:val="764C09C1"/>
    <w:rsid w:val="77E7DA22"/>
    <w:rsid w:val="7817BBFE"/>
    <w:rsid w:val="79E015DA"/>
    <w:rsid w:val="7CC9DEEC"/>
    <w:rsid w:val="7DA798FA"/>
    <w:rsid w:val="7F83F6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6E6"/>
    <w:pPr>
      <w:widowControl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901A1"/>
    <w:rPr>
      <w:rFonts w:cs="Times New Roman"/>
      <w:color w:val="0000FF"/>
      <w:u w:val="single"/>
    </w:rPr>
  </w:style>
  <w:style w:type="paragraph" w:styleId="ListParagraph">
    <w:name w:val="List Paragraph"/>
    <w:basedOn w:val="Normal"/>
    <w:link w:val="ListParagraphChar"/>
    <w:uiPriority w:val="34"/>
    <w:qFormat/>
    <w:rsid w:val="00B901A1"/>
    <w:pPr>
      <w:ind w:left="720"/>
      <w:contextualSpacing/>
    </w:pPr>
  </w:style>
  <w:style w:type="character" w:styleId="CommentReference">
    <w:name w:val="annotation reference"/>
    <w:basedOn w:val="DefaultParagraphFont"/>
    <w:unhideWhenUsed/>
    <w:rsid w:val="00B901A1"/>
    <w:rPr>
      <w:sz w:val="16"/>
      <w:szCs w:val="16"/>
    </w:rPr>
  </w:style>
  <w:style w:type="paragraph" w:styleId="CommentText">
    <w:name w:val="annotation text"/>
    <w:basedOn w:val="Normal"/>
    <w:link w:val="CommentTextChar"/>
    <w:unhideWhenUsed/>
    <w:rsid w:val="00B901A1"/>
    <w:rPr>
      <w:sz w:val="20"/>
    </w:rPr>
  </w:style>
  <w:style w:type="character" w:customStyle="1" w:styleId="CommentTextChar">
    <w:name w:val="Comment Text Char"/>
    <w:basedOn w:val="DefaultParagraphFont"/>
    <w:link w:val="CommentText"/>
    <w:rsid w:val="00B901A1"/>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E412B5"/>
    <w:rPr>
      <w:b/>
      <w:bCs/>
    </w:rPr>
  </w:style>
  <w:style w:type="character" w:customStyle="1" w:styleId="CommentSubjectChar">
    <w:name w:val="Comment Subject Char"/>
    <w:basedOn w:val="CommentTextChar"/>
    <w:link w:val="CommentSubject"/>
    <w:uiPriority w:val="99"/>
    <w:semiHidden/>
    <w:rsid w:val="00E412B5"/>
    <w:rPr>
      <w:rFonts w:ascii="Courier" w:eastAsia="Times New Roman" w:hAnsi="Courier" w:cs="Times New Roman"/>
      <w:b/>
      <w:bCs/>
      <w:sz w:val="20"/>
      <w:szCs w:val="20"/>
    </w:rPr>
  </w:style>
  <w:style w:type="table" w:styleId="TableGrid">
    <w:name w:val="Table Grid"/>
    <w:basedOn w:val="TableNorma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ListParagraphChar">
    <w:name w:val="List Paragraph Char"/>
    <w:basedOn w:val="DefaultParagraphFont"/>
    <w:link w:val="ListParagraph"/>
    <w:uiPriority w:val="34"/>
    <w:rsid w:val="00780F9E"/>
    <w:rPr>
      <w:rFonts w:ascii="Courier" w:eastAsia="Times New Roman" w:hAnsi="Courier" w:cs="Times New Roman"/>
      <w:sz w:val="24"/>
      <w:szCs w:val="20"/>
    </w:rPr>
  </w:style>
  <w:style w:type="character" w:customStyle="1" w:styleId="UnresolvedMention">
    <w:name w:val="Unresolved Mention"/>
    <w:basedOn w:val="DefaultParagraphFont"/>
    <w:uiPriority w:val="99"/>
    <w:unhideWhenUsed/>
    <w:rsid w:val="000E14C1"/>
    <w:rPr>
      <w:color w:val="605E5C"/>
      <w:shd w:val="clear" w:color="auto" w:fill="E1DFDD"/>
    </w:rPr>
  </w:style>
  <w:style w:type="character" w:customStyle="1" w:styleId="Mention">
    <w:name w:val="Mention"/>
    <w:basedOn w:val="DefaultParagraphFont"/>
    <w:uiPriority w:val="99"/>
    <w:unhideWhenUsed/>
    <w:rsid w:val="000E14C1"/>
    <w:rPr>
      <w:color w:val="2B579A"/>
      <w:shd w:val="clear" w:color="auto" w:fill="E1DFDD"/>
    </w:rPr>
  </w:style>
  <w:style w:type="paragraph" w:styleId="BalloonText">
    <w:name w:val="Balloon Text"/>
    <w:basedOn w:val="Normal"/>
    <w:link w:val="BalloonTextChar"/>
    <w:uiPriority w:val="99"/>
    <w:semiHidden/>
    <w:unhideWhenUsed/>
    <w:rsid w:val="00FD41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1FB"/>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6E6"/>
    <w:pPr>
      <w:widowControl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901A1"/>
    <w:rPr>
      <w:rFonts w:cs="Times New Roman"/>
      <w:color w:val="0000FF"/>
      <w:u w:val="single"/>
    </w:rPr>
  </w:style>
  <w:style w:type="paragraph" w:styleId="ListParagraph">
    <w:name w:val="List Paragraph"/>
    <w:basedOn w:val="Normal"/>
    <w:link w:val="ListParagraphChar"/>
    <w:uiPriority w:val="34"/>
    <w:qFormat/>
    <w:rsid w:val="00B901A1"/>
    <w:pPr>
      <w:ind w:left="720"/>
      <w:contextualSpacing/>
    </w:pPr>
  </w:style>
  <w:style w:type="character" w:styleId="CommentReference">
    <w:name w:val="annotation reference"/>
    <w:basedOn w:val="DefaultParagraphFont"/>
    <w:unhideWhenUsed/>
    <w:rsid w:val="00B901A1"/>
    <w:rPr>
      <w:sz w:val="16"/>
      <w:szCs w:val="16"/>
    </w:rPr>
  </w:style>
  <w:style w:type="paragraph" w:styleId="CommentText">
    <w:name w:val="annotation text"/>
    <w:basedOn w:val="Normal"/>
    <w:link w:val="CommentTextChar"/>
    <w:unhideWhenUsed/>
    <w:rsid w:val="00B901A1"/>
    <w:rPr>
      <w:sz w:val="20"/>
    </w:rPr>
  </w:style>
  <w:style w:type="character" w:customStyle="1" w:styleId="CommentTextChar">
    <w:name w:val="Comment Text Char"/>
    <w:basedOn w:val="DefaultParagraphFont"/>
    <w:link w:val="CommentText"/>
    <w:rsid w:val="00B901A1"/>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E412B5"/>
    <w:rPr>
      <w:b/>
      <w:bCs/>
    </w:rPr>
  </w:style>
  <w:style w:type="character" w:customStyle="1" w:styleId="CommentSubjectChar">
    <w:name w:val="Comment Subject Char"/>
    <w:basedOn w:val="CommentTextChar"/>
    <w:link w:val="CommentSubject"/>
    <w:uiPriority w:val="99"/>
    <w:semiHidden/>
    <w:rsid w:val="00E412B5"/>
    <w:rPr>
      <w:rFonts w:ascii="Courier" w:eastAsia="Times New Roman" w:hAnsi="Courier" w:cs="Times New Roman"/>
      <w:b/>
      <w:bCs/>
      <w:sz w:val="20"/>
      <w:szCs w:val="20"/>
    </w:rPr>
  </w:style>
  <w:style w:type="table" w:styleId="TableGrid">
    <w:name w:val="Table Grid"/>
    <w:basedOn w:val="TableNorma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ListParagraphChar">
    <w:name w:val="List Paragraph Char"/>
    <w:basedOn w:val="DefaultParagraphFont"/>
    <w:link w:val="ListParagraph"/>
    <w:uiPriority w:val="34"/>
    <w:rsid w:val="00780F9E"/>
    <w:rPr>
      <w:rFonts w:ascii="Courier" w:eastAsia="Times New Roman" w:hAnsi="Courier" w:cs="Times New Roman"/>
      <w:sz w:val="24"/>
      <w:szCs w:val="20"/>
    </w:rPr>
  </w:style>
  <w:style w:type="character" w:customStyle="1" w:styleId="UnresolvedMention">
    <w:name w:val="Unresolved Mention"/>
    <w:basedOn w:val="DefaultParagraphFont"/>
    <w:uiPriority w:val="99"/>
    <w:unhideWhenUsed/>
    <w:rsid w:val="000E14C1"/>
    <w:rPr>
      <w:color w:val="605E5C"/>
      <w:shd w:val="clear" w:color="auto" w:fill="E1DFDD"/>
    </w:rPr>
  </w:style>
  <w:style w:type="character" w:customStyle="1" w:styleId="Mention">
    <w:name w:val="Mention"/>
    <w:basedOn w:val="DefaultParagraphFont"/>
    <w:uiPriority w:val="99"/>
    <w:unhideWhenUsed/>
    <w:rsid w:val="000E14C1"/>
    <w:rPr>
      <w:color w:val="2B579A"/>
      <w:shd w:val="clear" w:color="auto" w:fill="E1DFDD"/>
    </w:rPr>
  </w:style>
  <w:style w:type="paragraph" w:styleId="BalloonText">
    <w:name w:val="Balloon Text"/>
    <w:basedOn w:val="Normal"/>
    <w:link w:val="BalloonTextChar"/>
    <w:uiPriority w:val="99"/>
    <w:semiHidden/>
    <w:unhideWhenUsed/>
    <w:rsid w:val="00FD41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1F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microsoft.com/office/2016/09/relationships/commentsIds" Target="commentsIds.xml"/><Relationship Id="rId2" Type="http://schemas.openxmlformats.org/officeDocument/2006/relationships/customXml" Target="../customXml/item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E1621F6DE5C042A932785EA1410CD4" ma:contentTypeVersion="6" ma:contentTypeDescription="Create a new document." ma:contentTypeScope="" ma:versionID="906065331dd8ba6590e24630aba1ee88">
  <xsd:schema xmlns:xsd="http://www.w3.org/2001/XMLSchema" xmlns:xs="http://www.w3.org/2001/XMLSchema" xmlns:p="http://schemas.microsoft.com/office/2006/metadata/properties" xmlns:ns1="http://schemas.microsoft.com/sharepoint/v3" xmlns:ns2="00b9c4f5-225c-4006-a3f7-ca983f0923bd" xmlns:ns3="97811226-e10d-4a16-a39b-d6aa2ecbd17f" targetNamespace="http://schemas.microsoft.com/office/2006/metadata/properties" ma:root="true" ma:fieldsID="2248a2a7b976f1dfc6bb1ff956977c62" ns1:_="" ns2:_="" ns3:_="">
    <xsd:import namespace="http://schemas.microsoft.com/sharepoint/v3"/>
    <xsd:import namespace="00b9c4f5-225c-4006-a3f7-ca983f0923bd"/>
    <xsd:import namespace="97811226-e10d-4a16-a39b-d6aa2ecbd17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b9c4f5-225c-4006-a3f7-ca983f092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811226-e10d-4a16-a39b-d6aa2ecbd1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AA9D6-F4AD-441B-815E-ED30127EB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b9c4f5-225c-4006-a3f7-ca983f0923bd"/>
    <ds:schemaRef ds:uri="97811226-e10d-4a16-a39b-d6aa2ecbd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C443FF-C5AE-4CD2-A257-7B612FBBABB0}">
  <ds:schemaRefs>
    <ds:schemaRef ds:uri="97811226-e10d-4a16-a39b-d6aa2ecbd17f"/>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schemas.microsoft.com/office/2006/metadata/properties"/>
    <ds:schemaRef ds:uri="http://schemas.microsoft.com/sharepoint/v3"/>
    <ds:schemaRef ds:uri="http://purl.org/dc/dcmitype/"/>
    <ds:schemaRef ds:uri="http://schemas.microsoft.com/office/infopath/2007/PartnerControls"/>
    <ds:schemaRef ds:uri="00b9c4f5-225c-4006-a3f7-ca983f0923bd"/>
  </ds:schemaRefs>
</ds:datastoreItem>
</file>

<file path=customXml/itemProps3.xml><?xml version="1.0" encoding="utf-8"?>
<ds:datastoreItem xmlns:ds="http://schemas.openxmlformats.org/officeDocument/2006/customXml" ds:itemID="{C203E2D5-D777-464E-BC7C-B0A2A1EF40E2}">
  <ds:schemaRefs>
    <ds:schemaRef ds:uri="http://schemas.microsoft.com/sharepoint/v3/contenttype/forms"/>
  </ds:schemaRefs>
</ds:datastoreItem>
</file>

<file path=customXml/itemProps4.xml><?xml version="1.0" encoding="utf-8"?>
<ds:datastoreItem xmlns:ds="http://schemas.openxmlformats.org/officeDocument/2006/customXml" ds:itemID="{74B9B650-97C4-4BE0-8010-F53D44519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2937</Words>
  <Characters>16747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19645</CharactersWithSpaces>
  <SharedDoc>false</SharedDoc>
  <HLinks>
    <vt:vector size="6" baseType="variant">
      <vt:variant>
        <vt:i4>5832752</vt:i4>
      </vt:variant>
      <vt:variant>
        <vt:i4>0</vt:i4>
      </vt:variant>
      <vt:variant>
        <vt:i4>0</vt:i4>
      </vt:variant>
      <vt:variant>
        <vt:i4>5</vt:i4>
      </vt:variant>
      <vt:variant>
        <vt:lpwstr>mailto:james.homer@usbank.com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Chappell, Jennifer</dc:creator>
  <cp:keywords/>
  <dc:description/>
  <cp:lastModifiedBy>ckopko</cp:lastModifiedBy>
  <cp:revision>5</cp:revision>
  <dcterms:created xsi:type="dcterms:W3CDTF">2022-12-16T20:09:00Z</dcterms:created>
  <dcterms:modified xsi:type="dcterms:W3CDTF">2022-12-19T11:14:00Z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0x01010059E1621F6DE5C042A932785EA1410CD4</vt:lpwstr>
  </property>
  <property fmtid="{D5CDD505-2E9C-101B-9397-08002B2CF9AE}" pid="3" name="MSIP_Label_320df1db-9955-4087-a541-42c2f5a9332e_Enabled">
    <vt:lpwstr>true</vt:lpwstr>
  </property>
  <property fmtid="{D5CDD505-2E9C-101B-9397-08002B2CF9AE}" pid="4" name="MSIP_Label_320df1db-9955-4087-a541-42c2f5a9332e_SetDate">
    <vt:lpwstr>2022-12-07T20:40:23Z</vt:lpwstr>
  </property>
  <property fmtid="{D5CDD505-2E9C-101B-9397-08002B2CF9AE}" pid="5" name="MSIP_Label_320df1db-9955-4087-a541-42c2f5a9332e_Method">
    <vt:lpwstr>Standard</vt:lpwstr>
  </property>
  <property fmtid="{D5CDD505-2E9C-101B-9397-08002B2CF9AE}" pid="6" name="MSIP_Label_320df1db-9955-4087-a541-42c2f5a9332e_Name">
    <vt:lpwstr>Confidential Information</vt:lpwstr>
  </property>
  <property fmtid="{D5CDD505-2E9C-101B-9397-08002B2CF9AE}" pid="7" name="MSIP_Label_320df1db-9955-4087-a541-42c2f5a9332e_SiteId">
    <vt:lpwstr>eef95730-77bf-4663-a55d-1ddff9335b5b</vt:lpwstr>
  </property>
  <property fmtid="{D5CDD505-2E9C-101B-9397-08002B2CF9AE}" pid="8" name="MSIP_Label_320df1db-9955-4087-a541-42c2f5a9332e_ActionId">
    <vt:lpwstr>4ec01ef2-c571-4968-9390-5745942ce35b</vt:lpwstr>
  </property>
  <property fmtid="{D5CDD505-2E9C-101B-9397-08002B2CF9AE}" pid="9" name="MSIP_Label_320df1db-9955-4087-a541-42c2f5a9332e_ContentBits">
    <vt:lpwstr>0</vt:lpwstr>
  </property>
</Properties>
</file>